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CFD9" w14:textId="7929052E" w:rsidR="006E6D4E" w:rsidRPr="006B458D" w:rsidRDefault="00D07455" w:rsidP="005B671C">
      <w:pPr>
        <w:ind w:left="142"/>
        <w:jc w:val="center"/>
        <w:rPr>
          <w:rFonts w:ascii="Verdana" w:hAnsi="Verdana"/>
          <w:b/>
          <w:bCs/>
          <w:sz w:val="36"/>
          <w:szCs w:val="36"/>
          <w:lang w:val="fr-BE"/>
        </w:rPr>
      </w:pPr>
      <w:r w:rsidRPr="006B458D">
        <w:rPr>
          <w:rFonts w:ascii="Verdana" w:hAnsi="Verdana"/>
          <w:b/>
          <w:bCs/>
          <w:sz w:val="36"/>
          <w:szCs w:val="36"/>
          <w:lang w:val="fr-BE"/>
        </w:rPr>
        <w:t>Spécification</w:t>
      </w:r>
    </w:p>
    <w:p w14:paraId="10C06161" w14:textId="07E844B1" w:rsidR="005B671C" w:rsidRPr="006B458D" w:rsidRDefault="00D07455" w:rsidP="005B671C">
      <w:pPr>
        <w:ind w:left="142"/>
        <w:jc w:val="center"/>
        <w:rPr>
          <w:rFonts w:ascii="Verdana" w:hAnsi="Verdana"/>
          <w:b/>
          <w:bCs/>
          <w:sz w:val="36"/>
          <w:szCs w:val="36"/>
          <w:lang w:val="fr-BE"/>
        </w:rPr>
      </w:pPr>
      <w:r w:rsidRPr="006B458D">
        <w:rPr>
          <w:rFonts w:ascii="Verdana" w:hAnsi="Verdana"/>
          <w:b/>
          <w:bCs/>
          <w:sz w:val="36"/>
          <w:szCs w:val="36"/>
          <w:lang w:val="fr-BE"/>
        </w:rPr>
        <w:t>Éléments de plancher préfabriqués en béton armé</w:t>
      </w:r>
    </w:p>
    <w:p w14:paraId="4C78FF52" w14:textId="77777777" w:rsidR="0050093A" w:rsidRPr="006B458D" w:rsidRDefault="0050093A" w:rsidP="00A23AB0">
      <w:pPr>
        <w:ind w:left="142"/>
        <w:rPr>
          <w:rFonts w:ascii="Verdana" w:hAnsi="Verdana"/>
          <w:b/>
          <w:bCs/>
          <w:sz w:val="24"/>
          <w:szCs w:val="24"/>
          <w:lang w:val="fr-BE"/>
        </w:rPr>
      </w:pPr>
    </w:p>
    <w:p w14:paraId="5970FF07" w14:textId="4742AAFE" w:rsidR="003E7CBA" w:rsidRPr="006B458D" w:rsidRDefault="006B458D" w:rsidP="005B671C">
      <w:pPr>
        <w:spacing w:after="0"/>
        <w:ind w:left="142"/>
        <w:rPr>
          <w:rFonts w:ascii="Verdana" w:hAnsi="Verdana"/>
          <w:b/>
          <w:bCs/>
          <w:sz w:val="24"/>
          <w:szCs w:val="24"/>
          <w:lang w:val="fr-BE"/>
        </w:rPr>
      </w:pPr>
      <w:r w:rsidRPr="006B458D">
        <w:rPr>
          <w:rFonts w:ascii="Verdana" w:hAnsi="Verdana"/>
          <w:b/>
          <w:bCs/>
          <w:sz w:val="24"/>
          <w:szCs w:val="24"/>
          <w:lang w:val="fr-BE"/>
        </w:rPr>
        <w:t>Généralités</w:t>
      </w:r>
    </w:p>
    <w:p w14:paraId="5F81A3DA" w14:textId="6F7D111C" w:rsidR="003E7CBA" w:rsidRPr="006B458D" w:rsidRDefault="006B458D" w:rsidP="005B671C">
      <w:pPr>
        <w:spacing w:after="0"/>
        <w:ind w:left="142"/>
        <w:jc w:val="both"/>
        <w:rPr>
          <w:rFonts w:ascii="Verdana" w:hAnsi="Verdana"/>
          <w:lang w:val="fr-BE"/>
        </w:rPr>
      </w:pPr>
      <w:r w:rsidRPr="006B458D">
        <w:rPr>
          <w:rFonts w:ascii="Verdana" w:hAnsi="Verdana"/>
          <w:lang w:val="fr-BE"/>
        </w:rPr>
        <w:t>Livraison et installation d’éléments en béton précontraint à face inférieure lisse, rugueuse ou isolée, munis du label de qualité BENOR, du type Fingo ou équivalent.</w:t>
      </w:r>
    </w:p>
    <w:p w14:paraId="17F6EC30" w14:textId="76CFBA50" w:rsidR="005B671C" w:rsidRPr="006B458D" w:rsidRDefault="005B671C" w:rsidP="005B671C">
      <w:pPr>
        <w:spacing w:after="0"/>
        <w:ind w:left="142"/>
        <w:jc w:val="both"/>
        <w:rPr>
          <w:rFonts w:ascii="Verdana" w:hAnsi="Verdana"/>
          <w:lang w:val="fr-BE"/>
        </w:rPr>
      </w:pPr>
    </w:p>
    <w:p w14:paraId="1A2B76D7" w14:textId="12C18255" w:rsidR="005B671C" w:rsidRPr="006B458D" w:rsidRDefault="006B458D" w:rsidP="005B671C">
      <w:pPr>
        <w:spacing w:after="0"/>
        <w:ind w:left="142"/>
        <w:jc w:val="both"/>
        <w:rPr>
          <w:rFonts w:ascii="Verdana" w:hAnsi="Verdana"/>
          <w:b/>
          <w:bCs/>
          <w:sz w:val="24"/>
          <w:szCs w:val="24"/>
          <w:lang w:val="fr-BE"/>
        </w:rPr>
      </w:pPr>
      <w:r w:rsidRPr="006B458D">
        <w:rPr>
          <w:rFonts w:ascii="Verdana" w:hAnsi="Verdana"/>
          <w:b/>
          <w:bCs/>
          <w:sz w:val="24"/>
          <w:szCs w:val="24"/>
          <w:lang w:val="fr-BE"/>
        </w:rPr>
        <w:t>D</w:t>
      </w:r>
      <w:r>
        <w:rPr>
          <w:rFonts w:ascii="Verdana" w:hAnsi="Verdana"/>
          <w:b/>
          <w:bCs/>
          <w:sz w:val="24"/>
          <w:szCs w:val="24"/>
          <w:lang w:val="fr-BE"/>
        </w:rPr>
        <w:t>e</w:t>
      </w:r>
      <w:r w:rsidRPr="006B458D">
        <w:rPr>
          <w:rFonts w:ascii="Verdana" w:hAnsi="Verdana"/>
          <w:b/>
          <w:bCs/>
          <w:sz w:val="24"/>
          <w:szCs w:val="24"/>
          <w:lang w:val="fr-BE"/>
        </w:rPr>
        <w:t>scription</w:t>
      </w:r>
    </w:p>
    <w:p w14:paraId="6C382C7A" w14:textId="104C5CF9" w:rsidR="005B671C" w:rsidRPr="006B458D" w:rsidRDefault="006B458D" w:rsidP="005B671C">
      <w:pPr>
        <w:spacing w:after="0"/>
        <w:ind w:left="142"/>
        <w:jc w:val="both"/>
        <w:rPr>
          <w:rFonts w:ascii="Verdana" w:hAnsi="Verdana"/>
          <w:lang w:val="fr-BE"/>
        </w:rPr>
      </w:pPr>
      <w:r>
        <w:rPr>
          <w:rFonts w:ascii="Verdana" w:hAnsi="Verdana"/>
          <w:lang w:val="fr-BE"/>
        </w:rPr>
        <w:t>Ces planchers sont constitués d’éléments de caissons en béton armé assemblés entre eux, qui peuvent éventuellement être renforcés par une dalle de compression en béton armé après leur installation.</w:t>
      </w:r>
    </w:p>
    <w:p w14:paraId="67B35064" w14:textId="651FECAF" w:rsidR="005B671C" w:rsidRPr="006B458D" w:rsidRDefault="005B671C" w:rsidP="005B671C">
      <w:pPr>
        <w:spacing w:after="0"/>
        <w:ind w:left="142"/>
        <w:jc w:val="both"/>
        <w:rPr>
          <w:rFonts w:ascii="Verdana" w:hAnsi="Verdana"/>
          <w:lang w:val="fr-BE"/>
        </w:rPr>
      </w:pPr>
    </w:p>
    <w:p w14:paraId="14C7E60B" w14:textId="6A545FC9" w:rsidR="005B671C" w:rsidRPr="006B458D" w:rsidRDefault="006B458D" w:rsidP="005B671C">
      <w:pPr>
        <w:spacing w:after="0"/>
        <w:ind w:left="142"/>
        <w:jc w:val="both"/>
        <w:rPr>
          <w:rFonts w:ascii="Verdana" w:hAnsi="Verdana"/>
          <w:b/>
          <w:bCs/>
          <w:sz w:val="24"/>
          <w:szCs w:val="24"/>
          <w:lang w:val="fr-BE"/>
        </w:rPr>
      </w:pPr>
      <w:r>
        <w:rPr>
          <w:rFonts w:ascii="Verdana" w:hAnsi="Verdana"/>
          <w:b/>
          <w:bCs/>
          <w:sz w:val="24"/>
          <w:szCs w:val="24"/>
          <w:lang w:val="fr-BE"/>
        </w:rPr>
        <w:t>Matériel et réalisation</w:t>
      </w:r>
    </w:p>
    <w:p w14:paraId="5704E556" w14:textId="2128F2AA" w:rsidR="005B671C" w:rsidRPr="006B458D" w:rsidRDefault="006B458D" w:rsidP="005B671C">
      <w:pPr>
        <w:spacing w:after="0"/>
        <w:ind w:left="142"/>
        <w:jc w:val="both"/>
        <w:rPr>
          <w:rFonts w:ascii="Verdana" w:hAnsi="Verdana"/>
          <w:lang w:val="fr-BE"/>
        </w:rPr>
      </w:pPr>
      <w:r>
        <w:rPr>
          <w:rFonts w:ascii="Verdana" w:hAnsi="Verdana"/>
          <w:lang w:val="fr-BE"/>
        </w:rPr>
        <w:t>Les éléments de plancher préfabriqués, composés d’un béton de gravier de haute qualité de la classe C40/50, et vibrés sur des coffrages métalliques, sont soumis aux essais de réception BENOR et s</w:t>
      </w:r>
      <w:r w:rsidR="009F213B">
        <w:rPr>
          <w:rFonts w:ascii="Verdana" w:hAnsi="Verdana"/>
          <w:lang w:val="fr-BE"/>
        </w:rPr>
        <w:t>a</w:t>
      </w:r>
      <w:r>
        <w:rPr>
          <w:rFonts w:ascii="Verdana" w:hAnsi="Verdana"/>
          <w:lang w:val="fr-BE"/>
        </w:rPr>
        <w:t xml:space="preserve">tisfont aux prescriptions techniques de PROBETON.  L’armature sous forme de barres de ø5 à ø14 mm a une qualité de DE 500 BS et est homologuée BENOR.  L’objectif sera toujours de placer toutes les armatures dans les éléments, et toute armature supplémentaire sera évitée si possible.  Le fabricant se charge de tous les évidements, biseaux, surélévations et saillies d’extrémité éventuels.  Le support des éléments est déterminé par la pratique, mais il est d’au moins 2 x 70 </w:t>
      </w:r>
      <w:proofErr w:type="spellStart"/>
      <w:r>
        <w:rPr>
          <w:rFonts w:ascii="Verdana" w:hAnsi="Verdana"/>
          <w:lang w:val="fr-BE"/>
        </w:rPr>
        <w:t>mm.</w:t>
      </w:r>
      <w:proofErr w:type="spellEnd"/>
      <w:r>
        <w:rPr>
          <w:rFonts w:ascii="Verdana" w:hAnsi="Verdana"/>
          <w:lang w:val="fr-BE"/>
        </w:rPr>
        <w:t xml:space="preserve">  L’installation se fait conformément aux directives de l’entreprise qui fournit le matériel</w:t>
      </w:r>
      <w:r w:rsidR="005D642F">
        <w:rPr>
          <w:rFonts w:ascii="Verdana" w:hAnsi="Verdana"/>
          <w:lang w:val="fr-BE"/>
        </w:rPr>
        <w:t>.</w:t>
      </w:r>
    </w:p>
    <w:p w14:paraId="658258B3" w14:textId="5491B2BA" w:rsidR="003227E4" w:rsidRPr="006B458D" w:rsidRDefault="003227E4" w:rsidP="005B671C">
      <w:pPr>
        <w:spacing w:after="0"/>
        <w:ind w:left="142"/>
        <w:jc w:val="both"/>
        <w:rPr>
          <w:rFonts w:ascii="Verdana" w:hAnsi="Verdana"/>
          <w:lang w:val="fr-BE"/>
        </w:rPr>
      </w:pPr>
    </w:p>
    <w:p w14:paraId="74827264" w14:textId="041D1601" w:rsidR="003227E4" w:rsidRPr="006B458D" w:rsidRDefault="005D642F" w:rsidP="005B671C">
      <w:pPr>
        <w:spacing w:after="0"/>
        <w:ind w:left="142"/>
        <w:jc w:val="both"/>
        <w:rPr>
          <w:rFonts w:ascii="Verdana" w:hAnsi="Verdana"/>
          <w:b/>
          <w:bCs/>
          <w:sz w:val="24"/>
          <w:szCs w:val="24"/>
          <w:lang w:val="fr-BE"/>
        </w:rPr>
      </w:pPr>
      <w:r>
        <w:rPr>
          <w:rFonts w:ascii="Verdana" w:hAnsi="Verdana"/>
          <w:b/>
          <w:bCs/>
          <w:sz w:val="24"/>
          <w:szCs w:val="24"/>
          <w:lang w:val="fr-BE"/>
        </w:rPr>
        <w:t>Calculs</w:t>
      </w:r>
    </w:p>
    <w:p w14:paraId="0118419B" w14:textId="3BCC324A" w:rsidR="003227E4" w:rsidRPr="006B458D" w:rsidRDefault="005D642F" w:rsidP="005B671C">
      <w:pPr>
        <w:spacing w:after="0"/>
        <w:ind w:left="142"/>
        <w:jc w:val="both"/>
        <w:rPr>
          <w:rFonts w:ascii="Verdana" w:hAnsi="Verdana"/>
          <w:lang w:val="fr-BE"/>
        </w:rPr>
      </w:pPr>
      <w:r>
        <w:rPr>
          <w:rFonts w:ascii="Verdana" w:hAnsi="Verdana"/>
          <w:lang w:val="fr-BE"/>
        </w:rPr>
        <w:t>Les éléments sont calculés se</w:t>
      </w:r>
      <w:r w:rsidR="001162F6">
        <w:rPr>
          <w:rFonts w:ascii="Verdana" w:hAnsi="Verdana"/>
          <w:lang w:val="fr-BE"/>
        </w:rPr>
        <w:t>l</w:t>
      </w:r>
      <w:r>
        <w:rPr>
          <w:rFonts w:ascii="Verdana" w:hAnsi="Verdana"/>
          <w:lang w:val="fr-BE"/>
        </w:rPr>
        <w:t>on les normes belges applicables.  Une note de calcul détaillée accompagnée d’un plan de pose doit être soumise au concepteur pour approbation avant le début des travaux</w:t>
      </w:r>
      <w:r w:rsidR="003227E4" w:rsidRPr="006B458D">
        <w:rPr>
          <w:rFonts w:ascii="Verdana" w:hAnsi="Verdana"/>
          <w:lang w:val="fr-BE"/>
        </w:rPr>
        <w:t>.</w:t>
      </w:r>
    </w:p>
    <w:p w14:paraId="5B9F63A8" w14:textId="0CBF1A46" w:rsidR="003227E4" w:rsidRPr="006B458D" w:rsidRDefault="003227E4" w:rsidP="005B671C">
      <w:pPr>
        <w:spacing w:after="0"/>
        <w:ind w:left="142"/>
        <w:jc w:val="both"/>
        <w:rPr>
          <w:rFonts w:ascii="Verdana" w:hAnsi="Verdana"/>
          <w:lang w:val="fr-BE"/>
        </w:rPr>
      </w:pPr>
    </w:p>
    <w:p w14:paraId="1A5F94AC" w14:textId="179BA643" w:rsidR="003227E4" w:rsidRPr="006B458D" w:rsidRDefault="005D642F" w:rsidP="005B671C">
      <w:pPr>
        <w:spacing w:after="0"/>
        <w:ind w:left="142"/>
        <w:jc w:val="both"/>
        <w:rPr>
          <w:rFonts w:ascii="Verdana" w:hAnsi="Verdana"/>
          <w:b/>
          <w:bCs/>
          <w:sz w:val="24"/>
          <w:szCs w:val="24"/>
          <w:lang w:val="fr-BE"/>
        </w:rPr>
      </w:pPr>
      <w:r>
        <w:rPr>
          <w:rFonts w:ascii="Verdana" w:hAnsi="Verdana"/>
          <w:b/>
          <w:bCs/>
          <w:sz w:val="24"/>
          <w:szCs w:val="24"/>
          <w:lang w:val="fr-BE"/>
        </w:rPr>
        <w:t>Dalle de compression sur les éléments</w:t>
      </w:r>
    </w:p>
    <w:p w14:paraId="48079B68" w14:textId="55D6DAB9" w:rsidR="003227E4" w:rsidRPr="006B458D" w:rsidRDefault="005D642F" w:rsidP="005B671C">
      <w:pPr>
        <w:spacing w:after="0"/>
        <w:ind w:left="142"/>
        <w:jc w:val="both"/>
        <w:rPr>
          <w:rFonts w:ascii="Verdana" w:hAnsi="Verdana"/>
          <w:lang w:val="fr-BE"/>
        </w:rPr>
      </w:pPr>
      <w:r>
        <w:rPr>
          <w:rFonts w:ascii="Verdana" w:hAnsi="Verdana"/>
          <w:lang w:val="fr-BE"/>
        </w:rPr>
        <w:t xml:space="preserve">Éventuellement, une dalle de compression en béton de </w:t>
      </w:r>
      <w:proofErr w:type="spellStart"/>
      <w:r>
        <w:rPr>
          <w:rFonts w:ascii="Verdana" w:hAnsi="Verdana"/>
          <w:lang w:val="fr-BE"/>
        </w:rPr>
        <w:t>kift</w:t>
      </w:r>
      <w:proofErr w:type="spellEnd"/>
      <w:r>
        <w:rPr>
          <w:rFonts w:ascii="Verdana" w:hAnsi="Verdana"/>
          <w:lang w:val="fr-BE"/>
        </w:rPr>
        <w:t xml:space="preserve"> de classe C30/37 est coulée sur les éléments.  Cette dalle de compression doit être placée de manière à former une seule entité avec les éléments de plancher sous-jacents, et à cette fin, les éléments doivent être bien humidifiées avant le coulage de la dalle de compression.  À partir d’une épaisseur de 40mm, la dalle de compression doit être armée d’un treillis (chevauchement de minimum 2 mailles).  L’épaisseur de la dalle de compression, le type de treillis d’armature ainsi que l’armement éventuel des point d’appui sont déterminés par le fabricant des hourdis.</w:t>
      </w:r>
    </w:p>
    <w:p w14:paraId="2D170BF2" w14:textId="683211AA" w:rsidR="003227E4" w:rsidRPr="006B458D" w:rsidRDefault="003227E4">
      <w:pPr>
        <w:rPr>
          <w:rFonts w:ascii="Verdana" w:hAnsi="Verdana"/>
          <w:lang w:val="fr-BE"/>
        </w:rPr>
      </w:pPr>
      <w:r w:rsidRPr="006B458D">
        <w:rPr>
          <w:rFonts w:ascii="Verdana" w:hAnsi="Verdana"/>
          <w:lang w:val="fr-BE"/>
        </w:rPr>
        <w:br w:type="page"/>
      </w:r>
    </w:p>
    <w:p w14:paraId="63DC8B4F" w14:textId="17249AEC" w:rsidR="003227E4" w:rsidRPr="006B458D" w:rsidRDefault="0067045D" w:rsidP="005B671C">
      <w:pPr>
        <w:spacing w:after="0"/>
        <w:ind w:left="142"/>
        <w:jc w:val="both"/>
        <w:rPr>
          <w:rFonts w:ascii="Verdana" w:hAnsi="Verdana"/>
          <w:b/>
          <w:bCs/>
          <w:sz w:val="24"/>
          <w:szCs w:val="24"/>
          <w:lang w:val="fr-BE"/>
        </w:rPr>
      </w:pPr>
      <w:r>
        <w:rPr>
          <w:rFonts w:ascii="Verdana" w:hAnsi="Verdana"/>
          <w:b/>
          <w:bCs/>
          <w:sz w:val="24"/>
          <w:szCs w:val="24"/>
          <w:lang w:val="fr-BE"/>
        </w:rPr>
        <w:lastRenderedPageBreak/>
        <w:t>Caractéristiques des éléments de plancher à face inférieure lisse</w:t>
      </w:r>
    </w:p>
    <w:p w14:paraId="133C57FC" w14:textId="307F1257" w:rsidR="003227E4" w:rsidRPr="006B458D" w:rsidRDefault="0067045D" w:rsidP="005B671C">
      <w:pPr>
        <w:spacing w:after="0"/>
        <w:ind w:left="142"/>
        <w:jc w:val="both"/>
        <w:rPr>
          <w:rFonts w:ascii="Verdana" w:hAnsi="Verdana"/>
          <w:lang w:val="fr-BE"/>
        </w:rPr>
      </w:pPr>
      <w:r>
        <w:rPr>
          <w:rFonts w:ascii="Verdana" w:hAnsi="Verdana"/>
          <w:lang w:val="fr-BE"/>
        </w:rPr>
        <w:t>Afin d’obtenir un bon ajustement, les éléments ont un petit côté surélevé en plus de la forme en V habituelle (voir la figure) ; d’autres formes sont rejetées en tant que varia</w:t>
      </w:r>
      <w:r w:rsidR="00795FCA">
        <w:rPr>
          <w:rFonts w:ascii="Verdana" w:hAnsi="Verdana"/>
          <w:lang w:val="fr-BE"/>
        </w:rPr>
        <w:t>ntes</w:t>
      </w:r>
      <w:r w:rsidR="003227E4" w:rsidRPr="006B458D">
        <w:rPr>
          <w:rFonts w:ascii="Verdana" w:hAnsi="Verdana"/>
          <w:lang w:val="fr-BE"/>
        </w:rPr>
        <w:t>.</w:t>
      </w:r>
    </w:p>
    <w:p w14:paraId="6C223D7A" w14:textId="1FC162D6" w:rsidR="003227E4" w:rsidRPr="006B458D" w:rsidRDefault="003227E4" w:rsidP="005B671C">
      <w:pPr>
        <w:spacing w:after="0"/>
        <w:ind w:left="142"/>
        <w:jc w:val="both"/>
        <w:rPr>
          <w:rFonts w:ascii="Verdana" w:hAnsi="Verdana"/>
          <w:lang w:val="fr-BE"/>
        </w:rPr>
      </w:pPr>
      <w:r w:rsidRPr="006B458D">
        <w:rPr>
          <w:rFonts w:ascii="PT Sans" w:hAnsi="PT Sans" w:cs="PT Sans"/>
          <w:noProof/>
          <w:color w:val="616161"/>
          <w:sz w:val="26"/>
          <w:szCs w:val="26"/>
          <w:lang w:val="fr-BE"/>
        </w:rPr>
        <w:drawing>
          <wp:anchor distT="0" distB="0" distL="114300" distR="114300" simplePos="0" relativeHeight="251659264" behindDoc="0" locked="0" layoutInCell="1" allowOverlap="1" wp14:anchorId="640B565D" wp14:editId="35148038">
            <wp:simplePos x="0" y="0"/>
            <wp:positionH relativeFrom="column">
              <wp:posOffset>66675</wp:posOffset>
            </wp:positionH>
            <wp:positionV relativeFrom="paragraph">
              <wp:posOffset>428625</wp:posOffset>
            </wp:positionV>
            <wp:extent cx="6570980" cy="3472815"/>
            <wp:effectExtent l="0" t="0" r="1270" b="0"/>
            <wp:wrapThrough wrapText="bothSides">
              <wp:wrapPolygon edited="0">
                <wp:start x="0" y="0"/>
                <wp:lineTo x="0" y="21446"/>
                <wp:lineTo x="21542" y="21446"/>
                <wp:lineTo x="2154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347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FCA">
        <w:rPr>
          <w:rFonts w:ascii="Verdana" w:hAnsi="Verdana"/>
          <w:lang w:val="fr-BE"/>
        </w:rPr>
        <w:t xml:space="preserve">la largeur nominale des éléments est de </w:t>
      </w:r>
      <w:r w:rsidR="00795FCA">
        <w:rPr>
          <w:rFonts w:ascii="Verdana" w:hAnsi="Verdana"/>
          <w:b/>
          <w:bCs/>
          <w:lang w:val="fr-BE"/>
        </w:rPr>
        <w:t>600mm</w:t>
      </w:r>
      <w:r w:rsidR="00E6627C" w:rsidRPr="006B458D">
        <w:rPr>
          <w:rFonts w:ascii="Verdana" w:hAnsi="Verdana"/>
          <w:lang w:val="fr-BE"/>
        </w:rPr>
        <w:t xml:space="preserve">.  </w:t>
      </w:r>
      <w:r w:rsidR="00795FCA">
        <w:rPr>
          <w:rFonts w:ascii="Verdana" w:hAnsi="Verdana"/>
          <w:lang w:val="fr-BE"/>
        </w:rPr>
        <w:t>Les plaques d’ajustage sont sciées à partir de plaques entières.  Les éléments ont une résistance au feu de</w:t>
      </w:r>
      <w:r w:rsidR="00E6627C" w:rsidRPr="006B458D">
        <w:rPr>
          <w:rFonts w:ascii="Verdana" w:hAnsi="Verdana"/>
          <w:lang w:val="fr-BE"/>
        </w:rPr>
        <w:t xml:space="preserve"> </w:t>
      </w:r>
      <w:r w:rsidR="00E6627C" w:rsidRPr="006B458D">
        <w:rPr>
          <w:rFonts w:ascii="Verdana" w:hAnsi="Verdana"/>
          <w:b/>
          <w:bCs/>
          <w:lang w:val="fr-BE"/>
        </w:rPr>
        <w:t xml:space="preserve">REI60 </w:t>
      </w:r>
      <w:r w:rsidR="00E6627C" w:rsidRPr="006B458D">
        <w:rPr>
          <w:rFonts w:ascii="Verdana" w:hAnsi="Verdana"/>
          <w:lang w:val="fr-BE"/>
        </w:rPr>
        <w:t>(Rf 1</w:t>
      </w:r>
      <w:r w:rsidR="00795FCA">
        <w:rPr>
          <w:rFonts w:ascii="Verdana" w:hAnsi="Verdana"/>
          <w:lang w:val="fr-BE"/>
        </w:rPr>
        <w:t>h</w:t>
      </w:r>
      <w:r w:rsidR="00E6627C" w:rsidRPr="006B458D">
        <w:rPr>
          <w:rFonts w:ascii="Verdana" w:hAnsi="Verdana"/>
          <w:lang w:val="fr-BE"/>
        </w:rPr>
        <w:t>)</w:t>
      </w:r>
    </w:p>
    <w:p w14:paraId="6CA664D4" w14:textId="16116A95" w:rsidR="003227E4" w:rsidRPr="006B458D" w:rsidRDefault="00795FCA" w:rsidP="005B671C">
      <w:pPr>
        <w:spacing w:after="0"/>
        <w:ind w:left="142"/>
        <w:jc w:val="both"/>
        <w:rPr>
          <w:rFonts w:ascii="Verdana" w:hAnsi="Verdana"/>
          <w:b/>
          <w:bCs/>
          <w:sz w:val="24"/>
          <w:szCs w:val="24"/>
          <w:lang w:val="fr-BE"/>
        </w:rPr>
      </w:pPr>
      <w:r>
        <w:rPr>
          <w:rFonts w:ascii="Verdana" w:hAnsi="Verdana"/>
          <w:b/>
          <w:bCs/>
          <w:sz w:val="24"/>
          <w:szCs w:val="24"/>
          <w:lang w:val="fr-BE"/>
        </w:rPr>
        <w:t>Caractéristiques des éléments de plancher à face inférieure rugueuse</w:t>
      </w:r>
    </w:p>
    <w:p w14:paraId="6065DE3B" w14:textId="78D5156B" w:rsidR="003227E4" w:rsidRPr="006B458D" w:rsidRDefault="00795FCA" w:rsidP="005B671C">
      <w:pPr>
        <w:spacing w:after="0"/>
        <w:ind w:left="142"/>
        <w:jc w:val="both"/>
        <w:rPr>
          <w:rFonts w:ascii="Verdana" w:hAnsi="Verdana"/>
          <w:lang w:val="fr-BE"/>
        </w:rPr>
      </w:pPr>
      <w:r>
        <w:rPr>
          <w:rFonts w:ascii="Verdana" w:hAnsi="Verdana"/>
          <w:lang w:val="fr-BE"/>
        </w:rPr>
        <w:t xml:space="preserve">Les côtés des éléments du plancher sont pourvus des </w:t>
      </w:r>
      <w:r w:rsidR="00E6627C" w:rsidRPr="006B458D">
        <w:rPr>
          <w:rFonts w:ascii="Verdana" w:hAnsi="Verdana"/>
          <w:lang w:val="fr-BE"/>
        </w:rPr>
        <w:t>”</w:t>
      </w:r>
      <w:r>
        <w:rPr>
          <w:rFonts w:ascii="Verdana" w:hAnsi="Verdana"/>
          <w:lang w:val="fr-BE"/>
        </w:rPr>
        <w:t>queues d’aronde »</w:t>
      </w:r>
      <w:r w:rsidR="00E6627C" w:rsidRPr="006B458D">
        <w:rPr>
          <w:rFonts w:ascii="Verdana" w:hAnsi="Verdana"/>
          <w:lang w:val="fr-BE"/>
        </w:rPr>
        <w:t xml:space="preserve">.  </w:t>
      </w:r>
      <w:r>
        <w:rPr>
          <w:rFonts w:ascii="Verdana" w:hAnsi="Verdana"/>
          <w:lang w:val="fr-BE"/>
        </w:rPr>
        <w:t>La largueur nominale des éléments est de</w:t>
      </w:r>
      <w:r w:rsidR="00E6627C" w:rsidRPr="006B458D">
        <w:rPr>
          <w:rFonts w:ascii="Verdana" w:hAnsi="Verdana"/>
          <w:lang w:val="fr-BE"/>
        </w:rPr>
        <w:t xml:space="preserve"> </w:t>
      </w:r>
      <w:r w:rsidR="00E6627C" w:rsidRPr="006B458D">
        <w:rPr>
          <w:rFonts w:ascii="Verdana" w:hAnsi="Verdana"/>
          <w:b/>
          <w:bCs/>
          <w:lang w:val="fr-BE"/>
        </w:rPr>
        <w:t xml:space="preserve">330mm </w:t>
      </w:r>
      <w:r>
        <w:rPr>
          <w:rFonts w:ascii="Verdana" w:hAnsi="Verdana"/>
          <w:lang w:val="fr-BE"/>
        </w:rPr>
        <w:t>ou</w:t>
      </w:r>
      <w:r w:rsidR="00E6627C" w:rsidRPr="006B458D">
        <w:rPr>
          <w:rFonts w:ascii="Verdana" w:hAnsi="Verdana"/>
          <w:lang w:val="fr-BE"/>
        </w:rPr>
        <w:t xml:space="preserve"> </w:t>
      </w:r>
      <w:r w:rsidR="00E6627C" w:rsidRPr="006B458D">
        <w:rPr>
          <w:rFonts w:ascii="Verdana" w:hAnsi="Verdana"/>
          <w:b/>
          <w:bCs/>
          <w:lang w:val="fr-BE"/>
        </w:rPr>
        <w:t>500mm</w:t>
      </w:r>
      <w:r w:rsidR="00E6627C" w:rsidRPr="006B458D">
        <w:rPr>
          <w:rFonts w:ascii="Verdana" w:hAnsi="Verdana"/>
          <w:lang w:val="fr-BE"/>
        </w:rPr>
        <w:t xml:space="preserve">.  </w:t>
      </w:r>
      <w:r>
        <w:rPr>
          <w:rFonts w:ascii="Verdana" w:hAnsi="Verdana"/>
          <w:lang w:val="fr-BE"/>
        </w:rPr>
        <w:t xml:space="preserve">Les éléments ont une résistance au feu de </w:t>
      </w:r>
      <w:r w:rsidR="00E6627C" w:rsidRPr="006B458D">
        <w:rPr>
          <w:rFonts w:ascii="Verdana" w:hAnsi="Verdana"/>
          <w:b/>
          <w:bCs/>
          <w:lang w:val="fr-BE"/>
        </w:rPr>
        <w:t xml:space="preserve">REI60 </w:t>
      </w:r>
      <w:r w:rsidR="00E6627C" w:rsidRPr="006B458D">
        <w:rPr>
          <w:rFonts w:ascii="Verdana" w:hAnsi="Verdana"/>
          <w:lang w:val="fr-BE"/>
        </w:rPr>
        <w:t>(Rf 1</w:t>
      </w:r>
      <w:r>
        <w:rPr>
          <w:rFonts w:ascii="Verdana" w:hAnsi="Verdana"/>
          <w:lang w:val="fr-BE"/>
        </w:rPr>
        <w:t>h</w:t>
      </w:r>
      <w:r w:rsidR="00E6627C" w:rsidRPr="006B458D">
        <w:rPr>
          <w:rFonts w:ascii="Verdana" w:hAnsi="Verdana"/>
          <w:lang w:val="fr-BE"/>
        </w:rPr>
        <w:t>)</w:t>
      </w:r>
    </w:p>
    <w:p w14:paraId="31848594" w14:textId="0D444108" w:rsidR="003227E4" w:rsidRPr="006B458D" w:rsidRDefault="003227E4" w:rsidP="005B671C">
      <w:pPr>
        <w:spacing w:after="0"/>
        <w:ind w:left="142"/>
        <w:jc w:val="both"/>
        <w:rPr>
          <w:rFonts w:ascii="Verdana" w:hAnsi="Verdana"/>
          <w:lang w:val="fr-BE"/>
        </w:rPr>
      </w:pPr>
    </w:p>
    <w:p w14:paraId="0E7F7BAB" w14:textId="274CEBBB" w:rsidR="00E6627C" w:rsidRPr="006B458D" w:rsidRDefault="00B713FB" w:rsidP="005B671C">
      <w:pPr>
        <w:spacing w:after="0"/>
        <w:ind w:left="142"/>
        <w:jc w:val="both"/>
        <w:rPr>
          <w:rFonts w:ascii="Verdana" w:hAnsi="Verdana"/>
          <w:b/>
          <w:bCs/>
          <w:sz w:val="24"/>
          <w:szCs w:val="24"/>
          <w:lang w:val="fr-BE"/>
        </w:rPr>
      </w:pPr>
      <w:r>
        <w:rPr>
          <w:rFonts w:ascii="Verdana" w:hAnsi="Verdana"/>
          <w:b/>
          <w:bCs/>
          <w:sz w:val="24"/>
          <w:szCs w:val="24"/>
          <w:lang w:val="fr-BE"/>
        </w:rPr>
        <w:t>Éléments de plancher préfabriqués en béton armé : face inférieure isolée</w:t>
      </w:r>
    </w:p>
    <w:p w14:paraId="289CDBD1" w14:textId="33F792EC" w:rsidR="00E6627C" w:rsidRPr="006B458D" w:rsidRDefault="00B713FB" w:rsidP="005B671C">
      <w:pPr>
        <w:spacing w:after="0"/>
        <w:ind w:left="142"/>
        <w:jc w:val="both"/>
        <w:rPr>
          <w:rFonts w:ascii="Verdana" w:hAnsi="Verdana"/>
          <w:b/>
          <w:bCs/>
          <w:lang w:val="fr-BE"/>
        </w:rPr>
      </w:pPr>
      <w:r>
        <w:rPr>
          <w:rFonts w:ascii="Verdana" w:hAnsi="Verdana"/>
          <w:lang w:val="fr-BE"/>
        </w:rPr>
        <w:t>Les él</w:t>
      </w:r>
      <w:r w:rsidR="001162F6">
        <w:rPr>
          <w:rFonts w:ascii="Verdana" w:hAnsi="Verdana"/>
          <w:lang w:val="fr-BE"/>
        </w:rPr>
        <w:t>é</w:t>
      </w:r>
      <w:r>
        <w:rPr>
          <w:rFonts w:ascii="Verdana" w:hAnsi="Verdana"/>
          <w:lang w:val="fr-BE"/>
        </w:rPr>
        <w:t>ments Fingo de largeur 500, rugueux (type 500), ou de largeur 600 lisses (type 600), sont utilisés comme base.  Une colle PUR mono-composant durcissant à l’humidité et dotée de solides propriétés thermiques et mécaniques fi</w:t>
      </w:r>
      <w:r w:rsidR="001162F6">
        <w:rPr>
          <w:rFonts w:ascii="Verdana" w:hAnsi="Verdana"/>
          <w:lang w:val="fr-BE"/>
        </w:rPr>
        <w:t>x</w:t>
      </w:r>
      <w:r>
        <w:rPr>
          <w:rFonts w:ascii="Verdana" w:hAnsi="Verdana"/>
          <w:lang w:val="fr-BE"/>
        </w:rPr>
        <w:t>e les panneaux d’isolation aux éléments.</w:t>
      </w:r>
    </w:p>
    <w:p w14:paraId="181369E4" w14:textId="57DCDED7" w:rsidR="006F043B" w:rsidRPr="00B713FB" w:rsidRDefault="006F043B" w:rsidP="005B671C">
      <w:pPr>
        <w:spacing w:after="0"/>
        <w:ind w:left="142"/>
        <w:jc w:val="both"/>
        <w:rPr>
          <w:rFonts w:ascii="Verdana" w:hAnsi="Verdana"/>
          <w:lang w:val="fr-BE"/>
        </w:rPr>
      </w:pPr>
      <w:r w:rsidRPr="006B458D">
        <w:rPr>
          <w:rFonts w:ascii="Verdana" w:hAnsi="Verdana"/>
          <w:b/>
          <w:bCs/>
          <w:lang w:val="fr-BE"/>
        </w:rPr>
        <w:t>Type 500</w:t>
      </w:r>
      <w:r w:rsidRPr="006B458D">
        <w:rPr>
          <w:rFonts w:ascii="Verdana" w:hAnsi="Verdana"/>
          <w:lang w:val="fr-BE"/>
        </w:rPr>
        <w:t xml:space="preserve">: </w:t>
      </w:r>
      <w:r w:rsidR="00B713FB">
        <w:rPr>
          <w:rFonts w:ascii="Verdana" w:hAnsi="Verdana"/>
          <w:lang w:val="fr-BE"/>
        </w:rPr>
        <w:t>la largeur nominale des éléments est de</w:t>
      </w:r>
      <w:r w:rsidRPr="006B458D">
        <w:rPr>
          <w:rFonts w:ascii="Verdana" w:hAnsi="Verdana"/>
          <w:lang w:val="fr-BE"/>
        </w:rPr>
        <w:t xml:space="preserve"> </w:t>
      </w:r>
      <w:r w:rsidRPr="006B458D">
        <w:rPr>
          <w:rFonts w:ascii="Verdana" w:hAnsi="Verdana"/>
          <w:b/>
          <w:bCs/>
          <w:lang w:val="fr-BE"/>
        </w:rPr>
        <w:t xml:space="preserve">500 </w:t>
      </w:r>
      <w:proofErr w:type="spellStart"/>
      <w:r w:rsidRPr="006B458D">
        <w:rPr>
          <w:rFonts w:ascii="Verdana" w:hAnsi="Verdana"/>
          <w:b/>
          <w:bCs/>
          <w:lang w:val="fr-BE"/>
        </w:rPr>
        <w:t>mm</w:t>
      </w:r>
      <w:r w:rsidR="00B713FB">
        <w:rPr>
          <w:rFonts w:ascii="Verdana" w:hAnsi="Verdana"/>
          <w:b/>
          <w:bCs/>
          <w:lang w:val="fr-BE"/>
        </w:rPr>
        <w:t>.</w:t>
      </w:r>
      <w:proofErr w:type="spellEnd"/>
      <w:r w:rsidR="00B713FB">
        <w:rPr>
          <w:rFonts w:ascii="Verdana" w:hAnsi="Verdana"/>
          <w:b/>
          <w:bCs/>
          <w:lang w:val="fr-BE"/>
        </w:rPr>
        <w:t xml:space="preserve">  </w:t>
      </w:r>
      <w:r w:rsidR="00B713FB">
        <w:rPr>
          <w:rFonts w:ascii="Verdana" w:hAnsi="Verdana"/>
          <w:lang w:val="fr-BE"/>
        </w:rPr>
        <w:t>Des plaques d’ajustage d’une largeur de 330mm sont possible.</w:t>
      </w:r>
    </w:p>
    <w:p w14:paraId="72419907" w14:textId="3C843FA7" w:rsidR="00300B70" w:rsidRPr="006B458D" w:rsidRDefault="006F043B" w:rsidP="005B671C">
      <w:pPr>
        <w:spacing w:after="0"/>
        <w:ind w:left="142"/>
        <w:jc w:val="both"/>
        <w:rPr>
          <w:rFonts w:ascii="Verdana" w:hAnsi="Verdana"/>
          <w:lang w:val="fr-BE"/>
        </w:rPr>
      </w:pPr>
      <w:r w:rsidRPr="006B458D">
        <w:rPr>
          <w:rFonts w:ascii="Verdana" w:hAnsi="Verdana"/>
          <w:b/>
          <w:bCs/>
          <w:lang w:val="fr-BE"/>
        </w:rPr>
        <w:t xml:space="preserve">Type 600: </w:t>
      </w:r>
      <w:r w:rsidR="00CB4631">
        <w:rPr>
          <w:rFonts w:ascii="Verdana" w:hAnsi="Verdana"/>
          <w:lang w:val="fr-BE"/>
        </w:rPr>
        <w:t>la largeur nominale des éléments est de</w:t>
      </w:r>
      <w:r w:rsidRPr="006B458D">
        <w:rPr>
          <w:rFonts w:ascii="Verdana" w:hAnsi="Verdana"/>
          <w:lang w:val="fr-BE"/>
        </w:rPr>
        <w:t xml:space="preserve"> </w:t>
      </w:r>
      <w:r w:rsidRPr="006B458D">
        <w:rPr>
          <w:rFonts w:ascii="Verdana" w:hAnsi="Verdana"/>
          <w:b/>
          <w:bCs/>
          <w:lang w:val="fr-BE"/>
        </w:rPr>
        <w:t xml:space="preserve">600 </w:t>
      </w:r>
      <w:proofErr w:type="spellStart"/>
      <w:r w:rsidRPr="006B458D">
        <w:rPr>
          <w:rFonts w:ascii="Verdana" w:hAnsi="Verdana"/>
          <w:b/>
          <w:bCs/>
          <w:lang w:val="fr-BE"/>
        </w:rPr>
        <w:t>mm</w:t>
      </w:r>
      <w:r w:rsidRPr="006B458D">
        <w:rPr>
          <w:rFonts w:ascii="Verdana" w:hAnsi="Verdana"/>
          <w:lang w:val="fr-BE"/>
        </w:rPr>
        <w:t>.</w:t>
      </w:r>
      <w:proofErr w:type="spellEnd"/>
      <w:r w:rsidRPr="006B458D">
        <w:rPr>
          <w:rFonts w:ascii="Verdana" w:hAnsi="Verdana"/>
          <w:lang w:val="fr-BE"/>
        </w:rPr>
        <w:t xml:space="preserve">  </w:t>
      </w:r>
      <w:r w:rsidR="00CB4631">
        <w:rPr>
          <w:rFonts w:ascii="Verdana" w:hAnsi="Verdana"/>
          <w:lang w:val="fr-BE"/>
        </w:rPr>
        <w:t>Les plaques d’ajustage sont sciées à partir de plaques entières.  Blocs d’ajustage en polystyrène expansé de largeurs 100,150 et 200mm.</w:t>
      </w:r>
    </w:p>
    <w:p w14:paraId="069F7BB2" w14:textId="77777777" w:rsidR="00300B70" w:rsidRPr="006B458D" w:rsidRDefault="00300B70">
      <w:pPr>
        <w:rPr>
          <w:rFonts w:ascii="Verdana" w:hAnsi="Verdana"/>
          <w:lang w:val="fr-BE"/>
        </w:rPr>
      </w:pPr>
      <w:r w:rsidRPr="006B458D">
        <w:rPr>
          <w:rFonts w:ascii="Verdana" w:hAnsi="Verdana"/>
          <w:lang w:val="fr-BE"/>
        </w:rPr>
        <w:br w:type="page"/>
      </w:r>
    </w:p>
    <w:p w14:paraId="76C7B513" w14:textId="7871C827" w:rsidR="006F043B" w:rsidRPr="006B458D" w:rsidRDefault="00CB4631" w:rsidP="005B671C">
      <w:pPr>
        <w:spacing w:after="0"/>
        <w:ind w:left="142"/>
        <w:jc w:val="both"/>
        <w:rPr>
          <w:rFonts w:ascii="Verdana" w:hAnsi="Verdana"/>
          <w:b/>
          <w:bCs/>
          <w:sz w:val="24"/>
          <w:szCs w:val="24"/>
          <w:lang w:val="fr-BE"/>
        </w:rPr>
      </w:pPr>
      <w:r>
        <w:rPr>
          <w:rFonts w:ascii="Verdana" w:hAnsi="Verdana"/>
          <w:b/>
          <w:bCs/>
          <w:sz w:val="24"/>
          <w:szCs w:val="24"/>
          <w:lang w:val="fr-BE"/>
        </w:rPr>
        <w:lastRenderedPageBreak/>
        <w:t>Remarque</w:t>
      </w:r>
    </w:p>
    <w:p w14:paraId="004A3A5D" w14:textId="7C1A5FA7" w:rsidR="00300B70" w:rsidRPr="006B458D" w:rsidRDefault="00300B70" w:rsidP="005B671C">
      <w:pPr>
        <w:spacing w:after="0"/>
        <w:ind w:left="142"/>
        <w:jc w:val="both"/>
        <w:rPr>
          <w:rFonts w:ascii="Verdana" w:hAnsi="Verdana"/>
          <w:lang w:val="fr-BE"/>
        </w:rPr>
      </w:pPr>
      <w:r w:rsidRPr="006B458D">
        <w:rPr>
          <w:rFonts w:ascii="Verdana" w:hAnsi="Verdana"/>
          <w:lang w:val="fr-BE"/>
        </w:rPr>
        <w:t>Terminologie de</w:t>
      </w:r>
      <w:r w:rsidR="00CB4631">
        <w:rPr>
          <w:rFonts w:ascii="Verdana" w:hAnsi="Verdana"/>
          <w:lang w:val="fr-BE"/>
        </w:rPr>
        <w:t>s</w:t>
      </w:r>
      <w:r w:rsidRPr="006B458D">
        <w:rPr>
          <w:rFonts w:ascii="Verdana" w:hAnsi="Verdana"/>
          <w:lang w:val="fr-BE"/>
        </w:rPr>
        <w:t xml:space="preserve"> </w:t>
      </w:r>
      <w:r w:rsidR="00CB4631">
        <w:rPr>
          <w:rFonts w:ascii="Verdana" w:hAnsi="Verdana"/>
          <w:lang w:val="fr-BE"/>
        </w:rPr>
        <w:t>sollicitations</w:t>
      </w:r>
      <w:r w:rsidRPr="006B458D">
        <w:rPr>
          <w:rFonts w:ascii="Verdana" w:hAnsi="Verdana"/>
          <w:lang w:val="fr-BE"/>
        </w:rPr>
        <w:t>:</w:t>
      </w:r>
    </w:p>
    <w:p w14:paraId="54EE4C1B" w14:textId="4CECB78B" w:rsidR="00300B70" w:rsidRPr="006B458D" w:rsidRDefault="00CB4631" w:rsidP="00300B70">
      <w:pPr>
        <w:pStyle w:val="Lijstalinea"/>
        <w:numPr>
          <w:ilvl w:val="0"/>
          <w:numId w:val="1"/>
        </w:numPr>
        <w:spacing w:after="0"/>
        <w:jc w:val="both"/>
        <w:rPr>
          <w:rFonts w:ascii="Verdana" w:hAnsi="Verdana"/>
          <w:lang w:val="fr-BE"/>
        </w:rPr>
      </w:pPr>
      <w:r>
        <w:rPr>
          <w:rFonts w:ascii="Verdana" w:hAnsi="Verdana"/>
          <w:lang w:val="fr-BE"/>
        </w:rPr>
        <w:t>Poids du plancher rugueux</w:t>
      </w:r>
      <w:r w:rsidR="00300B70" w:rsidRPr="006B458D">
        <w:rPr>
          <w:rFonts w:ascii="Verdana" w:hAnsi="Verdana"/>
          <w:lang w:val="fr-BE"/>
        </w:rPr>
        <w:t xml:space="preserve">: </w:t>
      </w:r>
      <w:r>
        <w:rPr>
          <w:rFonts w:ascii="Verdana" w:hAnsi="Verdana"/>
          <w:lang w:val="fr-BE"/>
        </w:rPr>
        <w:t>dépend du fabricant</w:t>
      </w:r>
      <w:r w:rsidR="00300B70" w:rsidRPr="006B458D">
        <w:rPr>
          <w:rFonts w:ascii="Verdana" w:hAnsi="Verdana"/>
          <w:lang w:val="fr-BE"/>
        </w:rPr>
        <w:t xml:space="preserve">.  </w:t>
      </w:r>
      <w:r>
        <w:rPr>
          <w:rFonts w:ascii="Verdana" w:hAnsi="Verdana"/>
          <w:lang w:val="fr-BE"/>
        </w:rPr>
        <w:t>Se compose des éléments du plancher, du jointoiement et de l’éventuelle dalle de compression.</w:t>
      </w:r>
    </w:p>
    <w:p w14:paraId="4461C509" w14:textId="5A12361B" w:rsidR="00300B70" w:rsidRPr="00CB4631" w:rsidRDefault="00CB4631" w:rsidP="00300B70">
      <w:pPr>
        <w:pStyle w:val="Lijstalinea"/>
        <w:numPr>
          <w:ilvl w:val="0"/>
          <w:numId w:val="1"/>
        </w:numPr>
        <w:spacing w:after="0"/>
        <w:jc w:val="both"/>
        <w:rPr>
          <w:rFonts w:ascii="Verdana" w:hAnsi="Verdana"/>
          <w:lang w:val="fr-BE"/>
        </w:rPr>
      </w:pPr>
      <w:r>
        <w:rPr>
          <w:rFonts w:ascii="Verdana" w:hAnsi="Verdana"/>
          <w:b/>
          <w:bCs/>
          <w:lang w:val="fr-BE"/>
        </w:rPr>
        <w:t>Charge utile</w:t>
      </w:r>
      <w:r w:rsidR="00300B70" w:rsidRPr="006B458D">
        <w:rPr>
          <w:rFonts w:ascii="Verdana" w:hAnsi="Verdana"/>
          <w:lang w:val="fr-BE"/>
        </w:rPr>
        <w:t xml:space="preserve">: </w:t>
      </w:r>
      <w:r>
        <w:rPr>
          <w:rFonts w:ascii="Verdana" w:hAnsi="Verdana"/>
          <w:lang w:val="fr-BE"/>
        </w:rPr>
        <w:t>est déterminée par le concepteur et consiste en la somme de toutes les charges agissant sur le plancher rugueux.</w:t>
      </w:r>
      <w:r w:rsidR="00300B70" w:rsidRPr="006B458D">
        <w:rPr>
          <w:rFonts w:ascii="Verdana" w:hAnsi="Verdana"/>
          <w:lang w:val="fr-BE"/>
        </w:rPr>
        <w:t xml:space="preserve">.  </w:t>
      </w:r>
      <w:r>
        <w:rPr>
          <w:rFonts w:ascii="Verdana" w:hAnsi="Verdana"/>
          <w:lang w:val="fr-BE"/>
        </w:rPr>
        <w:t>La</w:t>
      </w:r>
      <w:r w:rsidR="00300B70" w:rsidRPr="006B458D">
        <w:rPr>
          <w:rFonts w:ascii="Verdana" w:hAnsi="Verdana"/>
          <w:lang w:val="fr-BE"/>
        </w:rPr>
        <w:t xml:space="preserve"> </w:t>
      </w:r>
      <w:r>
        <w:rPr>
          <w:rFonts w:ascii="Verdana" w:hAnsi="Verdana"/>
          <w:b/>
          <w:bCs/>
          <w:lang w:val="fr-BE"/>
        </w:rPr>
        <w:t>finition</w:t>
      </w:r>
      <w:r w:rsidR="00300B70" w:rsidRPr="006B458D">
        <w:rPr>
          <w:rFonts w:ascii="Verdana" w:hAnsi="Verdana"/>
          <w:lang w:val="fr-BE"/>
        </w:rPr>
        <w:t xml:space="preserve"> </w:t>
      </w:r>
      <w:r>
        <w:rPr>
          <w:rFonts w:ascii="Verdana" w:hAnsi="Verdana"/>
          <w:lang w:val="fr-BE"/>
        </w:rPr>
        <w:t xml:space="preserve">du plancher : entre autres, la chape , l’isolation, le revêtement de sol, le plâtrage, le faux plafond, les techniques, </w:t>
      </w:r>
      <w:proofErr w:type="spellStart"/>
      <w:r>
        <w:rPr>
          <w:rFonts w:ascii="Verdana" w:hAnsi="Verdana"/>
          <w:lang w:val="fr-BE"/>
        </w:rPr>
        <w:t>etc</w:t>
      </w:r>
      <w:proofErr w:type="spellEnd"/>
      <w:r>
        <w:rPr>
          <w:rFonts w:ascii="Verdana" w:hAnsi="Verdana"/>
          <w:lang w:val="fr-BE"/>
        </w:rPr>
        <w:t> .</w:t>
      </w:r>
      <w:r w:rsidR="00300B70" w:rsidRPr="006B458D">
        <w:rPr>
          <w:rFonts w:ascii="Verdana" w:hAnsi="Verdana"/>
          <w:lang w:val="fr-BE"/>
        </w:rPr>
        <w:t xml:space="preserve"> </w:t>
      </w:r>
      <w:r w:rsidRPr="00CB4631">
        <w:rPr>
          <w:rFonts w:ascii="Verdana" w:hAnsi="Verdana"/>
          <w:lang w:val="fr-BE"/>
        </w:rPr>
        <w:t xml:space="preserve">La </w:t>
      </w:r>
      <w:r w:rsidRPr="00CB4631">
        <w:rPr>
          <w:rFonts w:ascii="Verdana" w:hAnsi="Verdana"/>
          <w:b/>
          <w:bCs/>
          <w:lang w:val="fr-BE"/>
        </w:rPr>
        <w:t>charge d’utilisation</w:t>
      </w:r>
      <w:r w:rsidRPr="00CB4631">
        <w:rPr>
          <w:rFonts w:ascii="Verdana" w:hAnsi="Verdana"/>
          <w:lang w:val="fr-BE"/>
        </w:rPr>
        <w:t>: entre autres, les personnes, les meubles, le</w:t>
      </w:r>
      <w:r>
        <w:rPr>
          <w:rFonts w:ascii="Verdana" w:hAnsi="Verdana"/>
          <w:lang w:val="fr-BE"/>
        </w:rPr>
        <w:t xml:space="preserve">s marchandises, </w:t>
      </w:r>
      <w:proofErr w:type="spellStart"/>
      <w:r>
        <w:rPr>
          <w:rFonts w:ascii="Verdana" w:hAnsi="Verdana"/>
          <w:lang w:val="fr-BE"/>
        </w:rPr>
        <w:t>etc</w:t>
      </w:r>
      <w:proofErr w:type="spellEnd"/>
      <w:r>
        <w:rPr>
          <w:rFonts w:ascii="Verdana" w:hAnsi="Verdana"/>
          <w:lang w:val="fr-BE"/>
        </w:rPr>
        <w:t> .</w:t>
      </w:r>
      <w:r w:rsidR="00300B70" w:rsidRPr="00CB4631">
        <w:rPr>
          <w:rFonts w:ascii="Verdana" w:hAnsi="Verdana"/>
          <w:lang w:val="fr-BE"/>
        </w:rPr>
        <w:t xml:space="preserve"> </w:t>
      </w:r>
      <w:r>
        <w:rPr>
          <w:rFonts w:ascii="Verdana" w:hAnsi="Verdana"/>
          <w:lang w:val="fr-BE"/>
        </w:rPr>
        <w:t>Les</w:t>
      </w:r>
      <w:r w:rsidR="00300B70" w:rsidRPr="00CB4631">
        <w:rPr>
          <w:rFonts w:ascii="Verdana" w:hAnsi="Verdana"/>
          <w:lang w:val="fr-BE"/>
        </w:rPr>
        <w:t xml:space="preserve"> </w:t>
      </w:r>
      <w:r>
        <w:rPr>
          <w:rFonts w:ascii="Verdana" w:hAnsi="Verdana"/>
          <w:b/>
          <w:bCs/>
          <w:lang w:val="fr-BE"/>
        </w:rPr>
        <w:t>cloisons</w:t>
      </w:r>
      <w:r w:rsidR="00300B70" w:rsidRPr="00CB4631">
        <w:rPr>
          <w:rFonts w:ascii="Verdana" w:hAnsi="Verdana"/>
          <w:lang w:val="fr-BE"/>
        </w:rPr>
        <w:t xml:space="preserve"> </w:t>
      </w:r>
      <w:r>
        <w:rPr>
          <w:rFonts w:ascii="Verdana" w:hAnsi="Verdana"/>
          <w:lang w:val="fr-BE"/>
        </w:rPr>
        <w:t>en contact direct avec le plancher</w:t>
      </w:r>
      <w:r w:rsidR="00300B70" w:rsidRPr="00CB4631">
        <w:rPr>
          <w:rFonts w:ascii="Verdana" w:hAnsi="Verdana"/>
          <w:lang w:val="fr-BE"/>
        </w:rPr>
        <w:t>.</w:t>
      </w:r>
    </w:p>
    <w:p w14:paraId="1CB67D4A" w14:textId="683BC3D1" w:rsidR="00300B70" w:rsidRPr="00CB4631" w:rsidRDefault="00300B70" w:rsidP="00300B70">
      <w:pPr>
        <w:spacing w:after="0"/>
        <w:jc w:val="both"/>
        <w:rPr>
          <w:rFonts w:ascii="Verdana" w:hAnsi="Verdana"/>
          <w:lang w:val="fr-BE"/>
        </w:rPr>
      </w:pPr>
    </w:p>
    <w:p w14:paraId="57D423CF" w14:textId="075C6C53" w:rsidR="00300B70" w:rsidRPr="006B458D" w:rsidRDefault="00CB4631" w:rsidP="00300B70">
      <w:pPr>
        <w:spacing w:after="0"/>
        <w:jc w:val="both"/>
        <w:rPr>
          <w:rFonts w:ascii="Verdana" w:hAnsi="Verdana"/>
          <w:b/>
          <w:bCs/>
          <w:sz w:val="24"/>
          <w:szCs w:val="24"/>
          <w:lang w:val="fr-BE"/>
        </w:rPr>
      </w:pPr>
      <w:r>
        <w:rPr>
          <w:rFonts w:ascii="Verdana" w:hAnsi="Verdana"/>
          <w:b/>
          <w:bCs/>
          <w:sz w:val="24"/>
          <w:szCs w:val="24"/>
          <w:lang w:val="fr-BE"/>
        </w:rPr>
        <w:t>Installation d’éléments de plancher en béton armé</w:t>
      </w:r>
    </w:p>
    <w:p w14:paraId="4A6E141F" w14:textId="5CEC699D" w:rsidR="00300B70" w:rsidRPr="00BF1623" w:rsidRDefault="00BF1623" w:rsidP="00300B70">
      <w:pPr>
        <w:spacing w:after="0"/>
        <w:jc w:val="both"/>
        <w:rPr>
          <w:rFonts w:ascii="Verdana" w:hAnsi="Verdana"/>
          <w:lang w:val="fr-BE"/>
        </w:rPr>
      </w:pPr>
      <w:r w:rsidRPr="00BF1623">
        <w:rPr>
          <w:rFonts w:ascii="Verdana" w:hAnsi="Verdana"/>
          <w:u w:val="single"/>
          <w:lang w:val="fr-BE"/>
        </w:rPr>
        <w:t>Application éléments lisses</w:t>
      </w:r>
      <w:r w:rsidR="00300B70" w:rsidRPr="00BF1623">
        <w:rPr>
          <w:rFonts w:ascii="Verdana" w:hAnsi="Verdana"/>
          <w:u w:val="single"/>
          <w:lang w:val="fr-BE"/>
        </w:rPr>
        <w:t xml:space="preserve">: </w:t>
      </w:r>
      <w:r w:rsidRPr="00BF1623">
        <w:rPr>
          <w:rFonts w:ascii="Verdana" w:hAnsi="Verdana"/>
          <w:lang w:val="fr-BE"/>
        </w:rPr>
        <w:t>quantités selon les plans et le mét</w:t>
      </w:r>
      <w:r>
        <w:rPr>
          <w:rFonts w:ascii="Verdana" w:hAnsi="Verdana"/>
          <w:lang w:val="fr-BE"/>
        </w:rPr>
        <w:t>ré</w:t>
      </w:r>
      <w:r w:rsidR="00300B70" w:rsidRPr="00BF1623">
        <w:rPr>
          <w:rFonts w:ascii="Verdana" w:hAnsi="Verdana"/>
          <w:lang w:val="fr-BE"/>
        </w:rPr>
        <w:t>.</w:t>
      </w:r>
    </w:p>
    <w:p w14:paraId="0A2B8010" w14:textId="5B9C77DD" w:rsidR="00300B70" w:rsidRPr="006B458D" w:rsidRDefault="00BF1623" w:rsidP="00BB5F4F">
      <w:pPr>
        <w:pStyle w:val="Lijstalinea"/>
        <w:numPr>
          <w:ilvl w:val="0"/>
          <w:numId w:val="1"/>
        </w:numPr>
        <w:spacing w:after="0"/>
        <w:jc w:val="both"/>
        <w:rPr>
          <w:rFonts w:ascii="Verdana" w:hAnsi="Verdana"/>
          <w:lang w:val="fr-BE"/>
        </w:rPr>
      </w:pPr>
      <w:r>
        <w:rPr>
          <w:rFonts w:ascii="Verdana" w:hAnsi="Verdana"/>
          <w:lang w:val="fr-BE"/>
        </w:rPr>
        <w:t>Au-dessus de</w:t>
      </w:r>
      <w:r w:rsidR="00BB5F4F" w:rsidRPr="006B458D">
        <w:rPr>
          <w:rFonts w:ascii="Verdana" w:hAnsi="Verdana"/>
          <w:lang w:val="fr-BE"/>
        </w:rPr>
        <w:t xml:space="preserve"> …….: </w:t>
      </w:r>
      <w:r>
        <w:rPr>
          <w:rFonts w:ascii="Verdana" w:hAnsi="Verdana"/>
          <w:lang w:val="fr-BE"/>
        </w:rPr>
        <w:t>épaisseur</w:t>
      </w:r>
      <w:r w:rsidR="00BB5F4F" w:rsidRPr="006B458D">
        <w:rPr>
          <w:rFonts w:ascii="Verdana" w:hAnsi="Verdana"/>
          <w:lang w:val="fr-BE"/>
        </w:rPr>
        <w:t xml:space="preserve"> …… mm + min. …… </w:t>
      </w:r>
      <w:r>
        <w:rPr>
          <w:rFonts w:ascii="Verdana" w:hAnsi="Verdana"/>
          <w:lang w:val="fr-BE"/>
        </w:rPr>
        <w:t>de dalle de compression</w:t>
      </w:r>
    </w:p>
    <w:p w14:paraId="3CB23D66" w14:textId="09B568D0" w:rsidR="00BB5F4F" w:rsidRPr="006B458D" w:rsidRDefault="00BF1623" w:rsidP="00BB5F4F">
      <w:pPr>
        <w:pStyle w:val="Lijstalinea"/>
        <w:spacing w:after="0"/>
        <w:ind w:left="1416"/>
        <w:jc w:val="both"/>
        <w:rPr>
          <w:rFonts w:ascii="Verdana" w:hAnsi="Verdana"/>
          <w:lang w:val="fr-BE"/>
        </w:rPr>
      </w:pPr>
      <w:r>
        <w:rPr>
          <w:rFonts w:ascii="Verdana" w:hAnsi="Verdana"/>
          <w:lang w:val="fr-BE"/>
        </w:rPr>
        <w:t>Charge d’utilisation</w:t>
      </w:r>
      <w:r w:rsidR="00BB5F4F" w:rsidRPr="006B458D">
        <w:rPr>
          <w:rFonts w:ascii="Verdana" w:hAnsi="Verdana"/>
          <w:lang w:val="fr-BE"/>
        </w:rPr>
        <w:t>: ….. kN/m²</w:t>
      </w:r>
    </w:p>
    <w:p w14:paraId="627BB373" w14:textId="7C7BBFDE" w:rsidR="00BB5F4F" w:rsidRPr="006B458D" w:rsidRDefault="00BF1623" w:rsidP="00BB5F4F">
      <w:pPr>
        <w:pStyle w:val="Lijstalinea"/>
        <w:spacing w:after="0"/>
        <w:ind w:left="1416"/>
        <w:jc w:val="both"/>
        <w:rPr>
          <w:rFonts w:ascii="Verdana" w:hAnsi="Verdana"/>
          <w:lang w:val="fr-BE"/>
        </w:rPr>
      </w:pPr>
      <w:r>
        <w:rPr>
          <w:rFonts w:ascii="Verdana" w:hAnsi="Verdana"/>
          <w:lang w:val="fr-BE"/>
        </w:rPr>
        <w:t>Charge utile</w:t>
      </w:r>
      <w:r w:rsidR="00BB5F4F" w:rsidRPr="006B458D">
        <w:rPr>
          <w:rFonts w:ascii="Verdana" w:hAnsi="Verdana"/>
          <w:lang w:val="fr-BE"/>
        </w:rPr>
        <w:t>: ……. kN/m²</w:t>
      </w:r>
    </w:p>
    <w:p w14:paraId="28008651" w14:textId="23269385" w:rsidR="00BB5F4F" w:rsidRPr="006B458D" w:rsidRDefault="00BB5F4F" w:rsidP="00BB5F4F">
      <w:pPr>
        <w:spacing w:after="0"/>
        <w:jc w:val="both"/>
        <w:rPr>
          <w:rFonts w:ascii="Verdana" w:hAnsi="Verdana"/>
          <w:lang w:val="fr-BE"/>
        </w:rPr>
      </w:pPr>
    </w:p>
    <w:p w14:paraId="19F60952" w14:textId="73A495DF" w:rsidR="00BB5F4F" w:rsidRPr="00BF1623" w:rsidRDefault="00BF1623" w:rsidP="00BB5F4F">
      <w:pPr>
        <w:spacing w:after="0"/>
        <w:jc w:val="both"/>
        <w:rPr>
          <w:rFonts w:ascii="Verdana" w:hAnsi="Verdana"/>
          <w:lang w:val="fr-BE"/>
        </w:rPr>
      </w:pPr>
      <w:r w:rsidRPr="00BF1623">
        <w:rPr>
          <w:rFonts w:ascii="Verdana" w:hAnsi="Verdana"/>
          <w:u w:val="single"/>
          <w:lang w:val="fr-BE"/>
        </w:rPr>
        <w:t>Application éléments rugueux</w:t>
      </w:r>
      <w:r w:rsidR="00BB5F4F" w:rsidRPr="00BF1623">
        <w:rPr>
          <w:rFonts w:ascii="Verdana" w:hAnsi="Verdana"/>
          <w:u w:val="single"/>
          <w:lang w:val="fr-BE"/>
        </w:rPr>
        <w:t xml:space="preserve">: </w:t>
      </w:r>
      <w:r w:rsidRPr="00BF1623">
        <w:rPr>
          <w:rFonts w:ascii="Verdana" w:hAnsi="Verdana"/>
          <w:lang w:val="fr-BE"/>
        </w:rPr>
        <w:t>quantit</w:t>
      </w:r>
      <w:r>
        <w:rPr>
          <w:rFonts w:ascii="Verdana" w:hAnsi="Verdana"/>
          <w:lang w:val="fr-BE"/>
        </w:rPr>
        <w:t>és selon les plans et le métré</w:t>
      </w:r>
    </w:p>
    <w:p w14:paraId="08E8C0F3" w14:textId="15E37A30" w:rsidR="00BB5F4F" w:rsidRPr="006B458D" w:rsidRDefault="00BF1623" w:rsidP="00BB5F4F">
      <w:pPr>
        <w:pStyle w:val="Lijstalinea"/>
        <w:numPr>
          <w:ilvl w:val="0"/>
          <w:numId w:val="1"/>
        </w:numPr>
        <w:spacing w:after="0"/>
        <w:jc w:val="both"/>
        <w:rPr>
          <w:rFonts w:ascii="Verdana" w:hAnsi="Verdana"/>
          <w:lang w:val="fr-BE"/>
        </w:rPr>
      </w:pPr>
      <w:r>
        <w:rPr>
          <w:rFonts w:ascii="Verdana" w:hAnsi="Verdana"/>
          <w:lang w:val="fr-BE"/>
        </w:rPr>
        <w:t>Au-dessus de</w:t>
      </w:r>
      <w:r w:rsidR="00BB5F4F" w:rsidRPr="006B458D">
        <w:rPr>
          <w:rFonts w:ascii="Verdana" w:hAnsi="Verdana"/>
          <w:lang w:val="fr-BE"/>
        </w:rPr>
        <w:t xml:space="preserve"> …….: </w:t>
      </w:r>
      <w:r>
        <w:rPr>
          <w:rFonts w:ascii="Verdana" w:hAnsi="Verdana"/>
          <w:lang w:val="fr-BE"/>
        </w:rPr>
        <w:t>épaisseur</w:t>
      </w:r>
      <w:r w:rsidR="00BB5F4F" w:rsidRPr="006B458D">
        <w:rPr>
          <w:rFonts w:ascii="Verdana" w:hAnsi="Verdana"/>
          <w:lang w:val="fr-BE"/>
        </w:rPr>
        <w:t xml:space="preserve"> …… mm + min. …… </w:t>
      </w:r>
      <w:r>
        <w:rPr>
          <w:rFonts w:ascii="Verdana" w:hAnsi="Verdana"/>
          <w:lang w:val="fr-BE"/>
        </w:rPr>
        <w:t>de dalle de compression</w:t>
      </w:r>
    </w:p>
    <w:p w14:paraId="643EF115" w14:textId="6B708999" w:rsidR="00BB5F4F" w:rsidRPr="006B458D" w:rsidRDefault="00BF1623" w:rsidP="00BB5F4F">
      <w:pPr>
        <w:pStyle w:val="Lijstalinea"/>
        <w:spacing w:after="0"/>
        <w:ind w:left="1416"/>
        <w:jc w:val="both"/>
        <w:rPr>
          <w:rFonts w:ascii="Verdana" w:hAnsi="Verdana"/>
          <w:lang w:val="fr-BE"/>
        </w:rPr>
      </w:pPr>
      <w:r>
        <w:rPr>
          <w:rFonts w:ascii="Verdana" w:hAnsi="Verdana"/>
          <w:lang w:val="fr-BE"/>
        </w:rPr>
        <w:t>Charge d’utilisation</w:t>
      </w:r>
      <w:r w:rsidR="00BB5F4F" w:rsidRPr="006B458D">
        <w:rPr>
          <w:rFonts w:ascii="Verdana" w:hAnsi="Verdana"/>
          <w:lang w:val="fr-BE"/>
        </w:rPr>
        <w:t>: ….. kN/m²</w:t>
      </w:r>
    </w:p>
    <w:p w14:paraId="5DB3A56B" w14:textId="38BC986C" w:rsidR="00BB5F4F" w:rsidRPr="006B458D" w:rsidRDefault="00BF1623" w:rsidP="00BB5F4F">
      <w:pPr>
        <w:pStyle w:val="Lijstalinea"/>
        <w:spacing w:after="0"/>
        <w:ind w:left="1416"/>
        <w:jc w:val="both"/>
        <w:rPr>
          <w:rFonts w:ascii="Verdana" w:hAnsi="Verdana"/>
          <w:lang w:val="fr-BE"/>
        </w:rPr>
      </w:pPr>
      <w:r>
        <w:rPr>
          <w:rFonts w:ascii="Verdana" w:hAnsi="Verdana"/>
          <w:lang w:val="fr-BE"/>
        </w:rPr>
        <w:t>Charge utile</w:t>
      </w:r>
      <w:r w:rsidR="00BB5F4F" w:rsidRPr="006B458D">
        <w:rPr>
          <w:rFonts w:ascii="Verdana" w:hAnsi="Verdana"/>
          <w:lang w:val="fr-BE"/>
        </w:rPr>
        <w:t>: ……. kN/m²</w:t>
      </w:r>
    </w:p>
    <w:p w14:paraId="656395E7" w14:textId="77777777" w:rsidR="00BB5F4F" w:rsidRPr="006B458D" w:rsidRDefault="00BB5F4F" w:rsidP="00BB5F4F">
      <w:pPr>
        <w:spacing w:after="0"/>
        <w:jc w:val="both"/>
        <w:rPr>
          <w:rFonts w:ascii="Verdana" w:hAnsi="Verdana"/>
          <w:lang w:val="fr-BE"/>
        </w:rPr>
      </w:pPr>
    </w:p>
    <w:sectPr w:rsidR="00BB5F4F" w:rsidRPr="006B458D" w:rsidSect="009650F6">
      <w:headerReference w:type="default" r:id="rId9"/>
      <w:footerReference w:type="default" r:id="rId10"/>
      <w:pgSz w:w="11906" w:h="16838" w:code="9"/>
      <w:pgMar w:top="2410"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DC2B" w14:textId="77777777" w:rsidR="0090414A" w:rsidRDefault="0090414A" w:rsidP="000D338A">
      <w:pPr>
        <w:spacing w:after="0" w:line="240" w:lineRule="auto"/>
      </w:pPr>
      <w:r>
        <w:separator/>
      </w:r>
    </w:p>
  </w:endnote>
  <w:endnote w:type="continuationSeparator" w:id="0">
    <w:p w14:paraId="617DF9EE" w14:textId="77777777" w:rsidR="0090414A" w:rsidRDefault="0090414A" w:rsidP="000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C777" w14:textId="6E02D8D9" w:rsidR="008C7927" w:rsidRPr="00CD09E4" w:rsidRDefault="00F51D46" w:rsidP="00B02DEC">
    <w:pPr>
      <w:pStyle w:val="Voettekst"/>
      <w:ind w:left="426"/>
      <w:rPr>
        <w:sz w:val="16"/>
        <w:szCs w:val="16"/>
      </w:rPr>
    </w:pPr>
    <w:r w:rsidRPr="00CD09E4">
      <w:rPr>
        <w:noProof/>
        <w:sz w:val="16"/>
        <w:szCs w:val="16"/>
      </w:rPr>
      <w:drawing>
        <wp:anchor distT="0" distB="0" distL="114300" distR="114300" simplePos="0" relativeHeight="251669504" behindDoc="0" locked="0" layoutInCell="1" allowOverlap="1" wp14:anchorId="2B5EE090" wp14:editId="42EE611B">
          <wp:simplePos x="0" y="0"/>
          <wp:positionH relativeFrom="leftMargin">
            <wp:posOffset>242537</wp:posOffset>
          </wp:positionH>
          <wp:positionV relativeFrom="paragraph">
            <wp:posOffset>-17335</wp:posOffset>
          </wp:positionV>
          <wp:extent cx="421693" cy="469075"/>
          <wp:effectExtent l="0" t="0" r="0" b="762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21693" cy="46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E4" w:rsidRPr="00CD09E4">
      <w:rPr>
        <w:i/>
        <w:iCs/>
        <w:noProof/>
        <w:sz w:val="16"/>
        <w:szCs w:val="16"/>
      </w:rPr>
      <mc:AlternateContent>
        <mc:Choice Requires="wps">
          <w:drawing>
            <wp:anchor distT="0" distB="0" distL="114300" distR="114300" simplePos="0" relativeHeight="251662336" behindDoc="0" locked="0" layoutInCell="1" allowOverlap="1" wp14:anchorId="0D66D5E8" wp14:editId="07BD1462">
              <wp:simplePos x="0" y="0"/>
              <wp:positionH relativeFrom="page">
                <wp:align>right</wp:align>
              </wp:positionH>
              <wp:positionV relativeFrom="bottomMargin">
                <wp:align>top</wp:align>
              </wp:positionV>
              <wp:extent cx="1284605" cy="604520"/>
              <wp:effectExtent l="0" t="0" r="0" b="5080"/>
              <wp:wrapSquare wrapText="bothSides"/>
              <wp:docPr id="5" name="Tekstvak 5"/>
              <wp:cNvGraphicFramePr/>
              <a:graphic xmlns:a="http://schemas.openxmlformats.org/drawingml/2006/main">
                <a:graphicData uri="http://schemas.microsoft.com/office/word/2010/wordprocessingShape">
                  <wps:wsp>
                    <wps:cNvSpPr txBox="1"/>
                    <wps:spPr>
                      <a:xfrm>
                        <a:off x="0" y="0"/>
                        <a:ext cx="1284605" cy="604520"/>
                      </a:xfrm>
                      <a:prstGeom prst="rect">
                        <a:avLst/>
                      </a:prstGeom>
                      <a:solidFill>
                        <a:srgbClr val="C1121C"/>
                      </a:solidFill>
                      <a:ln w="6350">
                        <a:noFill/>
                      </a:ln>
                    </wps:spPr>
                    <wps:txb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D5E8" id="_x0000_t202" coordsize="21600,21600" o:spt="202" path="m,l,21600r21600,l21600,xe">
              <v:stroke joinstyle="miter"/>
              <v:path gradientshapeok="t" o:connecttype="rect"/>
            </v:shapetype>
            <v:shape id="Tekstvak 5" o:spid="_x0000_s1026" type="#_x0000_t202" style="position:absolute;left:0;text-align:left;margin-left:49.95pt;margin-top:0;width:101.15pt;height:47.6pt;z-index:251662336;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" fillcolor="#c1121c" stroked="f" strokeweight=".5pt">
              <v:textbo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v:textbox>
              <w10:wrap type="square" anchorx="page" anchory="margin"/>
            </v:shape>
          </w:pict>
        </mc:Fallback>
      </mc:AlternateContent>
    </w:r>
  </w:p>
  <w:p w14:paraId="29ACCABF" w14:textId="6FE9E4E0" w:rsidR="000D338A" w:rsidRPr="00CD09E4" w:rsidRDefault="00B42B81" w:rsidP="00B02DEC">
    <w:pPr>
      <w:pStyle w:val="Voettekst"/>
      <w:ind w:left="426"/>
      <w:rPr>
        <w:rFonts w:cstheme="minorHAnsi"/>
        <w:sz w:val="16"/>
        <w:szCs w:val="16"/>
      </w:rPr>
    </w:pPr>
    <w:r w:rsidRPr="00CD09E4">
      <w:rPr>
        <w:rFonts w:cstheme="minorHAnsi"/>
        <w:noProof/>
        <w:sz w:val="16"/>
        <w:szCs w:val="16"/>
      </w:rPr>
      <mc:AlternateContent>
        <mc:Choice Requires="wps">
          <w:drawing>
            <wp:anchor distT="0" distB="0" distL="114300" distR="114300" simplePos="0" relativeHeight="251660288" behindDoc="0" locked="0" layoutInCell="1" allowOverlap="1" wp14:anchorId="1CFB3C9E" wp14:editId="1C800E4A">
              <wp:simplePos x="0" y="0"/>
              <wp:positionH relativeFrom="column">
                <wp:posOffset>-888365</wp:posOffset>
              </wp:positionH>
              <wp:positionV relativeFrom="paragraph">
                <wp:posOffset>158115</wp:posOffset>
              </wp:positionV>
              <wp:extent cx="8065135" cy="471600"/>
              <wp:effectExtent l="0" t="0" r="11430" b="24130"/>
              <wp:wrapNone/>
              <wp:docPr id="2" name="Tekstvak 2"/>
              <wp:cNvGraphicFramePr/>
              <a:graphic xmlns:a="http://schemas.openxmlformats.org/drawingml/2006/main">
                <a:graphicData uri="http://schemas.microsoft.com/office/word/2010/wordprocessingShape">
                  <wps:wsp>
                    <wps:cNvSpPr txBox="1"/>
                    <wps:spPr>
                      <a:xfrm>
                        <a:off x="0" y="0"/>
                        <a:ext cx="8065135" cy="471600"/>
                      </a:xfrm>
                      <a:prstGeom prst="rect">
                        <a:avLst/>
                      </a:prstGeom>
                      <a:solidFill>
                        <a:schemeClr val="tx1"/>
                      </a:solidFill>
                      <a:ln w="6350">
                        <a:solidFill>
                          <a:prstClr val="black"/>
                        </a:solidFill>
                      </a:ln>
                    </wps:spPr>
                    <wps:txb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110000</wp14:pctWidth>
              </wp14:sizeRelH>
              <wp14:sizeRelV relativeFrom="margin">
                <wp14:pctHeight>0</wp14:pctHeight>
              </wp14:sizeRelV>
            </wp:anchor>
          </w:drawing>
        </mc:Choice>
        <mc:Fallback>
          <w:pict>
            <v:shape w14:anchorId="1CFB3C9E" id="Tekstvak 2" o:spid="_x0000_s1027" type="#_x0000_t202" style="position:absolute;left:0;text-align:left;margin-left:-69.95pt;margin-top:12.45pt;width:635.05pt;height:37.15pt;z-index:251660288;visibility:visible;mso-wrap-style:square;mso-width-percent:1100;mso-height-percent:0;mso-wrap-distance-left:9pt;mso-wrap-distance-top:0;mso-wrap-distance-right:9pt;mso-wrap-distance-bottom:0;mso-position-horizontal:absolute;mso-position-horizontal-relative:text;mso-position-vertical:absolute;mso-position-vertical-relative:text;mso-width-percent:11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" fillcolor="black [3213]" strokeweight=".5pt">
              <v:textbo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v:textbox>
            </v:shape>
          </w:pict>
        </mc:Fallback>
      </mc:AlternateContent>
    </w:r>
    <w:r w:rsidR="000D338A" w:rsidRPr="00CD09E4">
      <w:rPr>
        <w:rFonts w:cstheme="minorHAnsi"/>
        <w:noProof/>
        <w:sz w:val="16"/>
        <w:szCs w:val="16"/>
      </w:rPr>
      <mc:AlternateContent>
        <mc:Choice Requires="wps">
          <w:drawing>
            <wp:anchor distT="45720" distB="45720" distL="114300" distR="114300" simplePos="0" relativeHeight="251659264" behindDoc="0" locked="0" layoutInCell="1" allowOverlap="1" wp14:anchorId="0F0F4CFB" wp14:editId="77B0EFDE">
              <wp:simplePos x="0" y="0"/>
              <wp:positionH relativeFrom="page">
                <wp:posOffset>198072</wp:posOffset>
              </wp:positionH>
              <wp:positionV relativeFrom="paragraph">
                <wp:posOffset>870681</wp:posOffset>
              </wp:positionV>
              <wp:extent cx="7271385" cy="1480820"/>
              <wp:effectExtent l="0" t="0" r="24765"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14808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4CFB" id="_x0000_s1028" type="#_x0000_t202" style="position:absolute;left:0;text-align:left;margin-left:15.6pt;margin-top:68.55pt;width:572.55pt;height:11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">
              <v:textbo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v:textbox>
              <w10:wrap type="square" anchorx="page"/>
            </v:shape>
          </w:pict>
        </mc:Fallback>
      </mc:AlternateContent>
    </w:r>
  </w:p>
  <w:p w14:paraId="05F45BDE" w14:textId="1C57F83F" w:rsidR="00B42B81" w:rsidRPr="006D14DC" w:rsidRDefault="00361974">
    <w:pPr>
      <w:pStyle w:val="Voettekst"/>
      <w:rPr>
        <w:rFonts w:ascii="Verdana" w:hAnsi="Verdana"/>
        <w:i/>
        <w:iCs/>
        <w:sz w:val="14"/>
        <w:szCs w:val="14"/>
      </w:rPr>
    </w:pPr>
    <w:r>
      <w:rPr>
        <w:i/>
        <w:iCs/>
        <w:noProof/>
        <w:sz w:val="20"/>
        <w:szCs w:val="20"/>
      </w:rPr>
      <mc:AlternateContent>
        <mc:Choice Requires="wps">
          <w:drawing>
            <wp:anchor distT="0" distB="0" distL="114300" distR="114300" simplePos="0" relativeHeight="251668480" behindDoc="0" locked="0" layoutInCell="1" allowOverlap="1" wp14:anchorId="3D14CD69" wp14:editId="4AE40CC8">
              <wp:simplePos x="0" y="0"/>
              <wp:positionH relativeFrom="page">
                <wp:align>center</wp:align>
              </wp:positionH>
              <wp:positionV relativeFrom="bottomMargin">
                <wp:posOffset>396240</wp:posOffset>
              </wp:positionV>
              <wp:extent cx="1404000" cy="326571"/>
              <wp:effectExtent l="0" t="0" r="24765" b="16510"/>
              <wp:wrapNone/>
              <wp:docPr id="3" name="Tekstvak 3"/>
              <wp:cNvGraphicFramePr/>
              <a:graphic xmlns:a="http://schemas.openxmlformats.org/drawingml/2006/main">
                <a:graphicData uri="http://schemas.microsoft.com/office/word/2010/wordprocessingShape">
                  <wps:wsp>
                    <wps:cNvSpPr txBox="1"/>
                    <wps:spPr>
                      <a:xfrm>
                        <a:off x="0" y="0"/>
                        <a:ext cx="1404000" cy="326571"/>
                      </a:xfrm>
                      <a:prstGeom prst="rect">
                        <a:avLst/>
                      </a:prstGeom>
                      <a:solidFill>
                        <a:schemeClr val="tx1"/>
                      </a:solidFill>
                      <a:ln w="6350">
                        <a:solidFill>
                          <a:prstClr val="black"/>
                        </a:solidFill>
                      </a:ln>
                    </wps:spPr>
                    <wps:txbx>
                      <w:txbxContent>
                        <w:p w14:paraId="4B0F7E84" w14:textId="77777777" w:rsidR="00361974" w:rsidRPr="00FB40F6" w:rsidRDefault="001162F6"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CD69" id="Tekstvak 3" o:spid="_x0000_s1029" type="#_x0000_t202" style="position:absolute;margin-left:0;margin-top:31.2pt;width:110.55pt;height:25.7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" fillcolor="black [3213]" strokeweight=".5pt">
              <v:textbox>
                <w:txbxContent>
                  <w:p w14:paraId="4B0F7E84" w14:textId="77777777" w:rsidR="00361974" w:rsidRPr="00FB40F6" w:rsidRDefault="00583FA8"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72B" w14:textId="77777777" w:rsidR="0090414A" w:rsidRDefault="0090414A" w:rsidP="000D338A">
      <w:pPr>
        <w:spacing w:after="0" w:line="240" w:lineRule="auto"/>
      </w:pPr>
      <w:r>
        <w:separator/>
      </w:r>
    </w:p>
  </w:footnote>
  <w:footnote w:type="continuationSeparator" w:id="0">
    <w:p w14:paraId="3D726980" w14:textId="77777777" w:rsidR="0090414A" w:rsidRDefault="0090414A" w:rsidP="000D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5AE1" w14:textId="0269E8F4" w:rsidR="00101BAA" w:rsidRDefault="00F51D46" w:rsidP="00E30919">
    <w:pPr>
      <w:pStyle w:val="Koptekst"/>
      <w:tabs>
        <w:tab w:val="clear" w:pos="4536"/>
        <w:tab w:val="clear" w:pos="9072"/>
        <w:tab w:val="left" w:pos="8762"/>
      </w:tabs>
    </w:pPr>
    <w:r>
      <w:rPr>
        <w:noProof/>
      </w:rPr>
      <w:drawing>
        <wp:anchor distT="0" distB="0" distL="114300" distR="114300" simplePos="0" relativeHeight="251666432" behindDoc="1" locked="0" layoutInCell="1" allowOverlap="1" wp14:anchorId="20B565A5" wp14:editId="341A9269">
          <wp:simplePos x="0" y="0"/>
          <wp:positionH relativeFrom="margin">
            <wp:align>left</wp:align>
          </wp:positionH>
          <wp:positionV relativeFrom="topMargin">
            <wp:posOffset>194599</wp:posOffset>
          </wp:positionV>
          <wp:extent cx="835200" cy="1098000"/>
          <wp:effectExtent l="0" t="0" r="3175" b="698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813">
      <w:rPr>
        <w:noProof/>
      </w:rPr>
      <w:drawing>
        <wp:anchor distT="0" distB="0" distL="114300" distR="114300" simplePos="0" relativeHeight="251667456" behindDoc="1" locked="0" layoutInCell="1" allowOverlap="1" wp14:anchorId="11011FBE" wp14:editId="50564C0E">
          <wp:simplePos x="0" y="0"/>
          <wp:positionH relativeFrom="rightMargin">
            <wp:posOffset>-2132965</wp:posOffset>
          </wp:positionH>
          <wp:positionV relativeFrom="page">
            <wp:posOffset>152400</wp:posOffset>
          </wp:positionV>
          <wp:extent cx="2199600" cy="12060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600" cy="12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919">
      <w:tab/>
    </w:r>
  </w:p>
  <w:p w14:paraId="324CD577" w14:textId="6D9A08FE" w:rsidR="00101BAA" w:rsidRDefault="00626011" w:rsidP="0075452F">
    <w:pPr>
      <w:pStyle w:val="Koptekst"/>
      <w:tabs>
        <w:tab w:val="clear" w:pos="4536"/>
        <w:tab w:val="clear" w:pos="9072"/>
        <w:tab w:val="left" w:pos="3339"/>
        <w:tab w:val="left" w:pos="7349"/>
        <w:tab w:val="left" w:pos="9414"/>
      </w:tabs>
    </w:pPr>
    <w:r>
      <w:tab/>
    </w:r>
    <w:r w:rsidR="0075452F">
      <w:tab/>
    </w:r>
    <w:r w:rsidR="00E30919">
      <w:tab/>
    </w:r>
  </w:p>
  <w:p w14:paraId="2E764797" w14:textId="2066BFA2" w:rsidR="00101BAA" w:rsidRDefault="00C930A6" w:rsidP="00E30919">
    <w:pPr>
      <w:pStyle w:val="Koptekst"/>
      <w:tabs>
        <w:tab w:val="clear" w:pos="4536"/>
        <w:tab w:val="clear" w:pos="9072"/>
        <w:tab w:val="left" w:pos="7010"/>
        <w:tab w:val="left" w:pos="9360"/>
      </w:tabs>
    </w:pPr>
    <w:r>
      <w:tab/>
    </w:r>
    <w:r w:rsidR="00E30919">
      <w:tab/>
    </w:r>
  </w:p>
  <w:p w14:paraId="010DD3BD" w14:textId="70CA0ABB" w:rsidR="00101BAA" w:rsidRDefault="00E30919" w:rsidP="00E30919">
    <w:pPr>
      <w:pStyle w:val="Koptekst"/>
      <w:tabs>
        <w:tab w:val="clear" w:pos="4536"/>
        <w:tab w:val="clear" w:pos="9072"/>
        <w:tab w:val="left" w:pos="937"/>
      </w:tabs>
    </w:pPr>
    <w:r>
      <w:tab/>
    </w:r>
  </w:p>
  <w:p w14:paraId="4F384B67" w14:textId="1AACF91C" w:rsidR="00101BAA" w:rsidRDefault="00101BAA">
    <w:pPr>
      <w:pStyle w:val="Koptekst"/>
    </w:pPr>
    <w:r>
      <w:rPr>
        <w:noProof/>
      </w:rPr>
      <mc:AlternateContent>
        <mc:Choice Requires="wps">
          <w:drawing>
            <wp:anchor distT="0" distB="0" distL="114300" distR="114300" simplePos="0" relativeHeight="251663360" behindDoc="0" locked="1" layoutInCell="1" allowOverlap="1" wp14:anchorId="2BBB7A21" wp14:editId="42CCFFD2">
              <wp:simplePos x="0" y="0"/>
              <wp:positionH relativeFrom="page">
                <wp:align>right</wp:align>
              </wp:positionH>
              <wp:positionV relativeFrom="page">
                <wp:posOffset>1371600</wp:posOffset>
              </wp:positionV>
              <wp:extent cx="7513200" cy="7200"/>
              <wp:effectExtent l="0" t="0" r="21590" b="31115"/>
              <wp:wrapNone/>
              <wp:docPr id="1" name="Rechte verbindingslijn 1"/>
              <wp:cNvGraphicFramePr/>
              <a:graphic xmlns:a="http://schemas.openxmlformats.org/drawingml/2006/main">
                <a:graphicData uri="http://schemas.microsoft.com/office/word/2010/wordprocessingShape">
                  <wps:wsp>
                    <wps:cNvCnPr/>
                    <wps:spPr>
                      <a:xfrm>
                        <a:off x="0" y="0"/>
                        <a:ext cx="7513200" cy="7200"/>
                      </a:xfrm>
                      <a:prstGeom prst="line">
                        <a:avLst/>
                      </a:prstGeom>
                      <a:ln>
                        <a:solidFill>
                          <a:srgbClr val="C11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w14:anchorId="2CB6D642" id="Rechte verbindingslijn 1" o:spid="_x0000_s1026" style="position:absolute;z-index:251663360;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page" from="540.4pt,108pt" to="1132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" strokecolor="#c1121c"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638D3"/>
    <w:multiLevelType w:val="hybridMultilevel"/>
    <w:tmpl w:val="FEF24E70"/>
    <w:lvl w:ilvl="0" w:tplc="867E1376">
      <w:numFmt w:val="bullet"/>
      <w:lvlText w:val=""/>
      <w:lvlJc w:val="left"/>
      <w:pPr>
        <w:ind w:left="1072" w:hanging="360"/>
      </w:pPr>
      <w:rPr>
        <w:rFonts w:ascii="Symbol" w:eastAsiaTheme="minorHAnsi" w:hAnsi="Symbol" w:cstheme="minorBidi"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num w:numId="1" w16cid:durableId="17978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8A"/>
    <w:rsid w:val="000112DF"/>
    <w:rsid w:val="00017FEE"/>
    <w:rsid w:val="000A3813"/>
    <w:rsid w:val="000B4990"/>
    <w:rsid w:val="000D338A"/>
    <w:rsid w:val="00101BAA"/>
    <w:rsid w:val="001162F6"/>
    <w:rsid w:val="00126C94"/>
    <w:rsid w:val="00210404"/>
    <w:rsid w:val="00263BE1"/>
    <w:rsid w:val="002B0C2B"/>
    <w:rsid w:val="00300B70"/>
    <w:rsid w:val="00303675"/>
    <w:rsid w:val="003227E4"/>
    <w:rsid w:val="00361974"/>
    <w:rsid w:val="003E7CBA"/>
    <w:rsid w:val="00472F46"/>
    <w:rsid w:val="0050093A"/>
    <w:rsid w:val="00545196"/>
    <w:rsid w:val="00583FA8"/>
    <w:rsid w:val="005B671C"/>
    <w:rsid w:val="005D642F"/>
    <w:rsid w:val="005E2FA1"/>
    <w:rsid w:val="00611F05"/>
    <w:rsid w:val="00626011"/>
    <w:rsid w:val="0067045D"/>
    <w:rsid w:val="006B458D"/>
    <w:rsid w:val="006B7A22"/>
    <w:rsid w:val="006D14DC"/>
    <w:rsid w:val="006E6D4E"/>
    <w:rsid w:val="006F043B"/>
    <w:rsid w:val="007231FE"/>
    <w:rsid w:val="0075452F"/>
    <w:rsid w:val="00775D3B"/>
    <w:rsid w:val="00795FCA"/>
    <w:rsid w:val="007A1173"/>
    <w:rsid w:val="007B0460"/>
    <w:rsid w:val="007E0E8E"/>
    <w:rsid w:val="00800A6C"/>
    <w:rsid w:val="00850CA7"/>
    <w:rsid w:val="008B555F"/>
    <w:rsid w:val="008C7927"/>
    <w:rsid w:val="0090414A"/>
    <w:rsid w:val="00951FEC"/>
    <w:rsid w:val="00960E88"/>
    <w:rsid w:val="009650F6"/>
    <w:rsid w:val="0097632C"/>
    <w:rsid w:val="00997E1B"/>
    <w:rsid w:val="009F213B"/>
    <w:rsid w:val="00A23AB0"/>
    <w:rsid w:val="00A702DC"/>
    <w:rsid w:val="00AB7250"/>
    <w:rsid w:val="00AF4382"/>
    <w:rsid w:val="00B02DEC"/>
    <w:rsid w:val="00B42B81"/>
    <w:rsid w:val="00B713FB"/>
    <w:rsid w:val="00B742AB"/>
    <w:rsid w:val="00B96BD9"/>
    <w:rsid w:val="00BB5F4F"/>
    <w:rsid w:val="00BF1623"/>
    <w:rsid w:val="00C0735D"/>
    <w:rsid w:val="00C930A6"/>
    <w:rsid w:val="00CA5AFB"/>
    <w:rsid w:val="00CB4631"/>
    <w:rsid w:val="00CC443F"/>
    <w:rsid w:val="00CD09E4"/>
    <w:rsid w:val="00D07455"/>
    <w:rsid w:val="00D54EEB"/>
    <w:rsid w:val="00D65BA2"/>
    <w:rsid w:val="00D867B6"/>
    <w:rsid w:val="00D937D5"/>
    <w:rsid w:val="00DB0F60"/>
    <w:rsid w:val="00E30919"/>
    <w:rsid w:val="00E309B9"/>
    <w:rsid w:val="00E6627C"/>
    <w:rsid w:val="00F075B3"/>
    <w:rsid w:val="00F0788A"/>
    <w:rsid w:val="00F16A9B"/>
    <w:rsid w:val="00F21B6F"/>
    <w:rsid w:val="00F46F26"/>
    <w:rsid w:val="00F51D46"/>
    <w:rsid w:val="00F570A2"/>
    <w:rsid w:val="00FB40F6"/>
    <w:rsid w:val="00FD1BD0"/>
    <w:rsid w:val="00FF2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DC8C8"/>
  <w15:chartTrackingRefBased/>
  <w15:docId w15:val="{F76B400D-9718-4CB8-B5CE-357A588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3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38A"/>
  </w:style>
  <w:style w:type="paragraph" w:styleId="Voettekst">
    <w:name w:val="footer"/>
    <w:basedOn w:val="Standaard"/>
    <w:link w:val="VoettekstChar"/>
    <w:uiPriority w:val="99"/>
    <w:unhideWhenUsed/>
    <w:rsid w:val="000D3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38A"/>
  </w:style>
  <w:style w:type="character" w:styleId="Hyperlink">
    <w:name w:val="Hyperlink"/>
    <w:basedOn w:val="Standaardalinea-lettertype"/>
    <w:uiPriority w:val="99"/>
    <w:unhideWhenUsed/>
    <w:rsid w:val="000D338A"/>
    <w:rPr>
      <w:color w:val="0563C1" w:themeColor="hyperlink"/>
      <w:u w:val="single"/>
    </w:rPr>
  </w:style>
  <w:style w:type="character" w:styleId="Onopgelostemelding">
    <w:name w:val="Unresolved Mention"/>
    <w:basedOn w:val="Standaardalinea-lettertype"/>
    <w:uiPriority w:val="99"/>
    <w:semiHidden/>
    <w:unhideWhenUsed/>
    <w:rsid w:val="000D338A"/>
    <w:rPr>
      <w:color w:val="605E5C"/>
      <w:shd w:val="clear" w:color="auto" w:fill="E1DFDD"/>
    </w:rPr>
  </w:style>
  <w:style w:type="character" w:styleId="Verwijzingopmerking">
    <w:name w:val="annotation reference"/>
    <w:basedOn w:val="Standaardalinea-lettertype"/>
    <w:uiPriority w:val="99"/>
    <w:semiHidden/>
    <w:unhideWhenUsed/>
    <w:rsid w:val="00CD09E4"/>
    <w:rPr>
      <w:sz w:val="16"/>
      <w:szCs w:val="16"/>
    </w:rPr>
  </w:style>
  <w:style w:type="paragraph" w:styleId="Tekstopmerking">
    <w:name w:val="annotation text"/>
    <w:basedOn w:val="Standaard"/>
    <w:link w:val="TekstopmerkingChar"/>
    <w:uiPriority w:val="99"/>
    <w:semiHidden/>
    <w:unhideWhenUsed/>
    <w:rsid w:val="00CD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09E4"/>
    <w:rPr>
      <w:sz w:val="20"/>
      <w:szCs w:val="20"/>
    </w:rPr>
  </w:style>
  <w:style w:type="paragraph" w:styleId="Onderwerpvanopmerking">
    <w:name w:val="annotation subject"/>
    <w:basedOn w:val="Tekstopmerking"/>
    <w:next w:val="Tekstopmerking"/>
    <w:link w:val="OnderwerpvanopmerkingChar"/>
    <w:uiPriority w:val="99"/>
    <w:semiHidden/>
    <w:unhideWhenUsed/>
    <w:rsid w:val="00CD09E4"/>
    <w:rPr>
      <w:b/>
      <w:bCs/>
    </w:rPr>
  </w:style>
  <w:style w:type="character" w:customStyle="1" w:styleId="OnderwerpvanopmerkingChar">
    <w:name w:val="Onderwerp van opmerking Char"/>
    <w:basedOn w:val="TekstopmerkingChar"/>
    <w:link w:val="Onderwerpvanopmerking"/>
    <w:uiPriority w:val="99"/>
    <w:semiHidden/>
    <w:rsid w:val="00CD09E4"/>
    <w:rPr>
      <w:b/>
      <w:bCs/>
      <w:sz w:val="20"/>
      <w:szCs w:val="20"/>
    </w:rPr>
  </w:style>
  <w:style w:type="paragraph" w:styleId="Lijstalinea">
    <w:name w:val="List Paragraph"/>
    <w:basedOn w:val="Standaard"/>
    <w:uiPriority w:val="34"/>
    <w:qFormat/>
    <w:rsid w:val="0030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ingo.be" TargetMode="External"/><Relationship Id="rId2" Type="http://schemas.openxmlformats.org/officeDocument/2006/relationships/image" Target="media/image3.jpeg"/><Relationship Id="rId1" Type="http://schemas.openxmlformats.org/officeDocument/2006/relationships/image" Target="media/image4.jpeg"/><Relationship Id="rId4" Type="http://schemas.openxmlformats.org/officeDocument/2006/relationships/hyperlink" Target="http://www.fing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1083-86CD-4F34-AC0C-653A657B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Sels | Fingo nv</dc:creator>
  <cp:keywords/>
  <dc:description/>
  <cp:lastModifiedBy>Natasja Van Ginneken | Fingo nv</cp:lastModifiedBy>
  <cp:revision>7</cp:revision>
  <cp:lastPrinted>2021-04-26T10:54:00Z</cp:lastPrinted>
  <dcterms:created xsi:type="dcterms:W3CDTF">2022-06-21T13:20:00Z</dcterms:created>
  <dcterms:modified xsi:type="dcterms:W3CDTF">2022-06-21T13:44:00Z</dcterms:modified>
</cp:coreProperties>
</file>